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仿宋" w:hAnsi="仿宋" w:eastAsia="仿宋" w:cs="仿宋"/>
          <w:bCs/>
          <w:sz w:val="32"/>
          <w:szCs w:val="32"/>
        </w:rPr>
      </w:pPr>
      <w:r>
        <w:rPr>
          <w:rFonts w:hint="eastAsia" w:ascii="仿宋" w:hAnsi="仿宋" w:eastAsia="仿宋" w:cs="仿宋"/>
          <w:bCs/>
          <w:sz w:val="32"/>
          <w:szCs w:val="32"/>
        </w:rPr>
        <w:t>附件4</w:t>
      </w:r>
    </w:p>
    <w:p>
      <w:pPr>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2020年医疗卫生</w:t>
      </w:r>
      <w:bookmarkStart w:id="0" w:name="_GoBack"/>
      <w:bookmarkEnd w:id="0"/>
      <w:r>
        <w:rPr>
          <w:rFonts w:hint="eastAsia" w:ascii="方正小标宋_GBK" w:hAnsi="方正小标宋_GBK" w:eastAsia="方正小标宋_GBK" w:cs="方正小标宋_GBK"/>
          <w:bCs/>
          <w:sz w:val="36"/>
          <w:szCs w:val="36"/>
        </w:rPr>
        <w:t>监督抽查计划</w:t>
      </w:r>
    </w:p>
    <w:p>
      <w:pPr>
        <w:widowControl/>
        <w:adjustRightInd w:val="0"/>
        <w:snapToGrid w:val="0"/>
        <w:spacing w:line="336" w:lineRule="auto"/>
        <w:ind w:firstLine="640" w:firstLineChars="200"/>
        <w:rPr>
          <w:rFonts w:ascii="仿宋_GB2312" w:eastAsia="仿宋_GB2312"/>
          <w:sz w:val="36"/>
          <w:szCs w:val="36"/>
        </w:rPr>
      </w:pP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根据《国家卫生健康委办公厅关于印发20</w:t>
      </w:r>
      <w:r>
        <w:rPr>
          <w:rFonts w:ascii="仿宋_GB2312" w:eastAsia="仿宋_GB2312"/>
          <w:sz w:val="32"/>
          <w:szCs w:val="32"/>
        </w:rPr>
        <w:t>20</w:t>
      </w:r>
      <w:r>
        <w:rPr>
          <w:rFonts w:hint="eastAsia" w:ascii="仿宋_GB2312" w:eastAsia="仿宋_GB2312"/>
          <w:sz w:val="32"/>
          <w:szCs w:val="32"/>
        </w:rPr>
        <w:t>年国家随机监督抽查计划的通知》（国卫办监督函〔20</w:t>
      </w:r>
      <w:r>
        <w:rPr>
          <w:rFonts w:ascii="仿宋_GB2312" w:eastAsia="仿宋_GB2312"/>
          <w:sz w:val="32"/>
          <w:szCs w:val="32"/>
        </w:rPr>
        <w:t>20</w:t>
      </w:r>
      <w:r>
        <w:rPr>
          <w:rFonts w:hint="eastAsia" w:ascii="仿宋_GB2312" w:eastAsia="仿宋_GB2312"/>
          <w:sz w:val="32"/>
          <w:szCs w:val="32"/>
        </w:rPr>
        <w:t>〕</w:t>
      </w:r>
      <w:r>
        <w:rPr>
          <w:rFonts w:ascii="仿宋_GB2312" w:eastAsia="仿宋_GB2312"/>
          <w:sz w:val="32"/>
          <w:szCs w:val="32"/>
        </w:rPr>
        <w:t>262</w:t>
      </w:r>
      <w:r>
        <w:rPr>
          <w:rFonts w:hint="eastAsia" w:ascii="仿宋_GB2312" w:eastAsia="仿宋_GB2312"/>
          <w:sz w:val="32"/>
          <w:szCs w:val="32"/>
        </w:rPr>
        <w:t>号）工作要求，结合我市工作实际，制定以下工作方案：</w:t>
      </w:r>
    </w:p>
    <w:p>
      <w:pPr>
        <w:pStyle w:val="7"/>
        <w:widowControl/>
        <w:numPr>
          <w:ilvl w:val="0"/>
          <w:numId w:val="1"/>
        </w:numPr>
        <w:adjustRightInd w:val="0"/>
        <w:snapToGrid w:val="0"/>
        <w:spacing w:line="336" w:lineRule="auto"/>
        <w:ind w:firstLineChars="0"/>
        <w:rPr>
          <w:rFonts w:ascii="黑体" w:hAnsi="黑体" w:eastAsia="黑体"/>
          <w:sz w:val="32"/>
          <w:szCs w:val="32"/>
        </w:rPr>
      </w:pPr>
      <w:r>
        <w:rPr>
          <w:rFonts w:hint="eastAsia" w:ascii="黑体" w:hAnsi="黑体" w:eastAsia="黑体"/>
          <w:sz w:val="32"/>
          <w:szCs w:val="32"/>
        </w:rPr>
        <w:t>工作内容</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（一）医疗机构资质（《医疗机构执业许可证》、人员资格、诊疗活动、健康体检）管理情况。</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（二）卫生技术人员（医师、外国医师、香港澳门医师、台湾医师、乡村医生、药师、护士、医技人员）管理情况。</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（三）药品和医疗器械（麻醉药品、精神药品、抗菌药物、医疗器械）管理情况。</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（四）医疗技术（医疗美容、临床基因扩增、干细胞临床研究、临床研究项目）管理情况。</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（五）医疗文书（处方、病历、医学证明文件）管理情况等</w:t>
      </w:r>
      <w:r>
        <w:rPr>
          <w:rFonts w:ascii="仿宋_GB2312" w:eastAsia="仿宋_GB2312"/>
          <w:sz w:val="32"/>
          <w:szCs w:val="32"/>
        </w:rPr>
        <w:t>。</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（六）临床</w:t>
      </w:r>
      <w:r>
        <w:rPr>
          <w:rFonts w:ascii="仿宋_GB2312" w:eastAsia="仿宋_GB2312"/>
          <w:sz w:val="32"/>
          <w:szCs w:val="32"/>
        </w:rPr>
        <w:t>用血（</w:t>
      </w:r>
      <w:r>
        <w:rPr>
          <w:rFonts w:hint="eastAsia" w:ascii="仿宋_GB2312" w:eastAsia="仿宋_GB2312"/>
          <w:sz w:val="32"/>
          <w:szCs w:val="32"/>
        </w:rPr>
        <w:t>用血</w:t>
      </w:r>
      <w:r>
        <w:rPr>
          <w:rFonts w:ascii="仿宋_GB2312" w:eastAsia="仿宋_GB2312"/>
          <w:sz w:val="32"/>
          <w:szCs w:val="32"/>
        </w:rPr>
        <w:t>来源、管理组织和制度，血液储存，应急用血采血）</w:t>
      </w:r>
      <w:r>
        <w:rPr>
          <w:rFonts w:hint="eastAsia" w:ascii="仿宋_GB2312" w:eastAsia="仿宋_GB2312"/>
          <w:sz w:val="32"/>
          <w:szCs w:val="32"/>
        </w:rPr>
        <w:t>等</w:t>
      </w:r>
      <w:r>
        <w:rPr>
          <w:rFonts w:ascii="仿宋_GB2312" w:eastAsia="仿宋_GB2312"/>
          <w:sz w:val="32"/>
          <w:szCs w:val="32"/>
        </w:rPr>
        <w:t>。</w:t>
      </w:r>
    </w:p>
    <w:p>
      <w:pPr>
        <w:widowControl/>
        <w:adjustRightInd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二、工作要求</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（一）各区卫生健康监督机构要从切实维护广大人民群众健康权益的高度出发，充分重视随机监督抽查工作，切实加强领导，明确责任，确保随机监督抽查工作落到实处，取得实效。</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（二）各区</w:t>
      </w:r>
      <w:r>
        <w:rPr>
          <w:rFonts w:ascii="仿宋_GB2312" w:eastAsia="仿宋_GB2312"/>
          <w:sz w:val="32"/>
          <w:szCs w:val="32"/>
        </w:rPr>
        <w:t>卫生</w:t>
      </w:r>
      <w:r>
        <w:rPr>
          <w:rFonts w:hint="eastAsia" w:ascii="仿宋_GB2312" w:eastAsia="仿宋_GB2312"/>
          <w:sz w:val="32"/>
          <w:szCs w:val="32"/>
        </w:rPr>
        <w:t>健康监督机构</w:t>
      </w:r>
      <w:r>
        <w:rPr>
          <w:rFonts w:ascii="仿宋_GB2312" w:eastAsia="仿宋_GB2312"/>
          <w:sz w:val="32"/>
          <w:szCs w:val="32"/>
        </w:rPr>
        <w:t>要</w:t>
      </w:r>
      <w:r>
        <w:rPr>
          <w:rFonts w:hint="eastAsia" w:ascii="仿宋_GB2312" w:eastAsia="仿宋_GB2312"/>
          <w:sz w:val="32"/>
          <w:szCs w:val="32"/>
        </w:rPr>
        <w:t>严格</w:t>
      </w:r>
      <w:r>
        <w:rPr>
          <w:rFonts w:ascii="仿宋_GB2312" w:eastAsia="仿宋_GB2312"/>
          <w:sz w:val="32"/>
          <w:szCs w:val="32"/>
        </w:rPr>
        <w:t>按照</w:t>
      </w:r>
      <w:r>
        <w:rPr>
          <w:rFonts w:hint="eastAsia" w:ascii="仿宋_GB2312" w:eastAsia="仿宋_GB2312"/>
          <w:sz w:val="32"/>
          <w:szCs w:val="32"/>
        </w:rPr>
        <w:t>国家法律法规</w:t>
      </w:r>
      <w:r>
        <w:rPr>
          <w:rFonts w:ascii="仿宋_GB2312" w:eastAsia="仿宋_GB2312"/>
          <w:sz w:val="32"/>
          <w:szCs w:val="32"/>
        </w:rPr>
        <w:t>、标准和规范要求，开展随机</w:t>
      </w:r>
      <w:r>
        <w:rPr>
          <w:rFonts w:hint="eastAsia" w:ascii="仿宋_GB2312" w:eastAsia="仿宋_GB2312"/>
          <w:sz w:val="32"/>
          <w:szCs w:val="32"/>
        </w:rPr>
        <w:t>监督</w:t>
      </w:r>
      <w:r>
        <w:rPr>
          <w:rFonts w:ascii="仿宋_GB2312" w:eastAsia="仿宋_GB2312"/>
          <w:sz w:val="32"/>
          <w:szCs w:val="32"/>
        </w:rPr>
        <w:t>抽查工作，加强培训，制定方案，</w:t>
      </w:r>
      <w:r>
        <w:rPr>
          <w:rFonts w:hint="eastAsia" w:ascii="仿宋_GB2312" w:eastAsia="仿宋_GB2312"/>
          <w:sz w:val="32"/>
          <w:szCs w:val="32"/>
        </w:rPr>
        <w:t>将</w:t>
      </w:r>
      <w:r>
        <w:rPr>
          <w:rFonts w:ascii="仿宋_GB2312" w:eastAsia="仿宋_GB2312"/>
          <w:sz w:val="32"/>
          <w:szCs w:val="32"/>
        </w:rPr>
        <w:t>随机监督抽查作为日常监督工作量的一部分统筹安排。</w:t>
      </w:r>
      <w:r>
        <w:rPr>
          <w:rFonts w:hint="eastAsia" w:ascii="仿宋_GB2312" w:eastAsia="仿宋_GB2312"/>
          <w:sz w:val="32"/>
          <w:szCs w:val="32"/>
        </w:rPr>
        <w:t>发现违法行为符合</w:t>
      </w:r>
      <w:r>
        <w:rPr>
          <w:rFonts w:ascii="仿宋_GB2312" w:eastAsia="仿宋_GB2312"/>
          <w:sz w:val="32"/>
          <w:szCs w:val="32"/>
        </w:rPr>
        <w:t>立案条件的，要坚决立案查处，维护</w:t>
      </w:r>
      <w:r>
        <w:rPr>
          <w:rFonts w:hint="eastAsia" w:ascii="仿宋_GB2312" w:eastAsia="仿宋_GB2312"/>
          <w:sz w:val="32"/>
          <w:szCs w:val="32"/>
        </w:rPr>
        <w:t>随机</w:t>
      </w:r>
      <w:r>
        <w:rPr>
          <w:rFonts w:ascii="仿宋_GB2312" w:eastAsia="仿宋_GB2312"/>
          <w:sz w:val="32"/>
          <w:szCs w:val="32"/>
        </w:rPr>
        <w:t>监督抽查</w:t>
      </w:r>
      <w:r>
        <w:rPr>
          <w:rFonts w:hint="eastAsia" w:ascii="仿宋_GB2312" w:eastAsia="仿宋_GB2312"/>
          <w:sz w:val="32"/>
          <w:szCs w:val="32"/>
        </w:rPr>
        <w:t>的</w:t>
      </w:r>
      <w:r>
        <w:rPr>
          <w:rFonts w:ascii="仿宋_GB2312" w:eastAsia="仿宋_GB2312"/>
          <w:sz w:val="32"/>
          <w:szCs w:val="32"/>
        </w:rPr>
        <w:t>严肃性。</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（三）各区卫生健康监督机构要按照2020年医疗机构国家随机监督抽查工作计划表（见附表1）要求，完成抽查任务。</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（四）各区</w:t>
      </w:r>
      <w:r>
        <w:rPr>
          <w:rFonts w:ascii="仿宋_GB2312" w:eastAsia="仿宋_GB2312"/>
          <w:sz w:val="32"/>
          <w:szCs w:val="32"/>
        </w:rPr>
        <w:t>卫生</w:t>
      </w:r>
      <w:r>
        <w:rPr>
          <w:rFonts w:hint="eastAsia" w:ascii="仿宋_GB2312" w:eastAsia="仿宋_GB2312"/>
          <w:sz w:val="32"/>
          <w:szCs w:val="32"/>
        </w:rPr>
        <w:t>健康</w:t>
      </w:r>
      <w:r>
        <w:rPr>
          <w:rFonts w:ascii="仿宋_GB2312" w:eastAsia="仿宋_GB2312"/>
          <w:sz w:val="32"/>
          <w:szCs w:val="32"/>
        </w:rPr>
        <w:t>监督机构</w:t>
      </w:r>
      <w:r>
        <w:rPr>
          <w:rFonts w:hint="eastAsia" w:ascii="仿宋_GB2312" w:eastAsia="仿宋_GB2312"/>
          <w:sz w:val="32"/>
          <w:szCs w:val="32"/>
        </w:rPr>
        <w:t>请</w:t>
      </w:r>
      <w:r>
        <w:rPr>
          <w:rFonts w:ascii="仿宋_GB2312" w:eastAsia="仿宋_GB2312"/>
          <w:sz w:val="32"/>
          <w:szCs w:val="32"/>
        </w:rPr>
        <w:t>及时公开和上报</w:t>
      </w:r>
      <w:r>
        <w:rPr>
          <w:rFonts w:hint="eastAsia" w:ascii="仿宋_GB2312" w:eastAsia="仿宋_GB2312"/>
          <w:sz w:val="32"/>
          <w:szCs w:val="32"/>
        </w:rPr>
        <w:t>随机</w:t>
      </w:r>
      <w:r>
        <w:rPr>
          <w:rFonts w:ascii="仿宋_GB2312" w:eastAsia="仿宋_GB2312"/>
          <w:sz w:val="32"/>
          <w:szCs w:val="32"/>
        </w:rPr>
        <w:t>监督抽查结果</w:t>
      </w:r>
      <w:r>
        <w:rPr>
          <w:rFonts w:hint="eastAsia" w:ascii="仿宋_GB2312" w:eastAsia="仿宋_GB2312"/>
          <w:sz w:val="32"/>
          <w:szCs w:val="32"/>
        </w:rPr>
        <w:t>，抽查结果</w:t>
      </w:r>
      <w:r>
        <w:rPr>
          <w:rFonts w:ascii="仿宋_GB2312" w:eastAsia="仿宋_GB2312"/>
          <w:sz w:val="32"/>
          <w:szCs w:val="32"/>
        </w:rPr>
        <w:t>信息包括：抽查未发现问题、发现问题已</w:t>
      </w:r>
      <w:r>
        <w:rPr>
          <w:rFonts w:hint="eastAsia" w:ascii="仿宋_GB2312" w:eastAsia="仿宋_GB2312"/>
          <w:sz w:val="32"/>
          <w:szCs w:val="32"/>
        </w:rPr>
        <w:t>责令改正</w:t>
      </w:r>
      <w:r>
        <w:rPr>
          <w:rFonts w:ascii="仿宋_GB2312" w:eastAsia="仿宋_GB2312"/>
          <w:sz w:val="32"/>
          <w:szCs w:val="32"/>
        </w:rPr>
        <w:t>、行政处罚、无法联系</w:t>
      </w:r>
      <w:r>
        <w:rPr>
          <w:rFonts w:hint="eastAsia" w:ascii="仿宋_GB2312" w:eastAsia="仿宋_GB2312"/>
          <w:sz w:val="32"/>
          <w:szCs w:val="32"/>
        </w:rPr>
        <w:t>（检查</w:t>
      </w:r>
      <w:r>
        <w:rPr>
          <w:rFonts w:ascii="仿宋_GB2312" w:eastAsia="仿宋_GB2312"/>
          <w:sz w:val="32"/>
          <w:szCs w:val="32"/>
        </w:rPr>
        <w:t>时</w:t>
      </w:r>
      <w:r>
        <w:rPr>
          <w:rFonts w:hint="eastAsia" w:ascii="仿宋_GB2312" w:eastAsia="仿宋_GB2312"/>
          <w:sz w:val="32"/>
          <w:szCs w:val="32"/>
        </w:rPr>
        <w:t>单位</w:t>
      </w:r>
      <w:r>
        <w:rPr>
          <w:rFonts w:ascii="仿宋_GB2312" w:eastAsia="仿宋_GB2312"/>
          <w:sz w:val="32"/>
          <w:szCs w:val="32"/>
        </w:rPr>
        <w:t>已</w:t>
      </w:r>
      <w:r>
        <w:rPr>
          <w:rFonts w:hint="eastAsia" w:ascii="仿宋_GB2312" w:eastAsia="仿宋_GB2312"/>
          <w:sz w:val="32"/>
          <w:szCs w:val="32"/>
        </w:rPr>
        <w:t>关闭</w:t>
      </w:r>
      <w:r>
        <w:rPr>
          <w:rFonts w:ascii="仿宋_GB2312" w:eastAsia="仿宋_GB2312"/>
          <w:sz w:val="32"/>
          <w:szCs w:val="32"/>
        </w:rPr>
        <w:t>、</w:t>
      </w:r>
      <w:r>
        <w:rPr>
          <w:rFonts w:hint="eastAsia" w:ascii="仿宋_GB2312" w:eastAsia="仿宋_GB2312"/>
          <w:sz w:val="32"/>
          <w:szCs w:val="32"/>
        </w:rPr>
        <w:t>行政</w:t>
      </w:r>
      <w:r>
        <w:rPr>
          <w:rFonts w:ascii="仿宋_GB2312" w:eastAsia="仿宋_GB2312"/>
          <w:sz w:val="32"/>
          <w:szCs w:val="32"/>
        </w:rPr>
        <w:t>执法文书送达不到未履行未结案等情形</w:t>
      </w:r>
      <w:r>
        <w:rPr>
          <w:rFonts w:hint="eastAsia" w:ascii="仿宋_GB2312" w:eastAsia="仿宋_GB2312"/>
          <w:sz w:val="32"/>
          <w:szCs w:val="32"/>
        </w:rPr>
        <w:t>）</w:t>
      </w:r>
      <w:r>
        <w:rPr>
          <w:rFonts w:ascii="仿宋_GB2312" w:eastAsia="仿宋_GB2312"/>
          <w:sz w:val="32"/>
          <w:szCs w:val="32"/>
        </w:rPr>
        <w:t>等</w:t>
      </w:r>
      <w:r>
        <w:rPr>
          <w:rFonts w:hint="eastAsia" w:ascii="仿宋_GB2312" w:eastAsia="仿宋_GB2312"/>
          <w:sz w:val="32"/>
          <w:szCs w:val="32"/>
        </w:rPr>
        <w:t>4类。</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（五）各区卫生健康监督机构负责</w:t>
      </w:r>
      <w:r>
        <w:rPr>
          <w:rFonts w:ascii="仿宋_GB2312" w:eastAsia="仿宋_GB2312"/>
          <w:sz w:val="32"/>
          <w:szCs w:val="32"/>
        </w:rPr>
        <w:t>对辖区的数据信息（</w:t>
      </w:r>
      <w:r>
        <w:rPr>
          <w:rFonts w:hint="eastAsia" w:ascii="仿宋_GB2312" w:eastAsia="仿宋_GB2312"/>
          <w:sz w:val="32"/>
          <w:szCs w:val="32"/>
        </w:rPr>
        <w:t>以信息系统填报数据为准</w:t>
      </w:r>
      <w:r>
        <w:rPr>
          <w:rFonts w:ascii="仿宋_GB2312" w:eastAsia="仿宋_GB2312"/>
          <w:sz w:val="32"/>
          <w:szCs w:val="32"/>
        </w:rPr>
        <w:t>）</w:t>
      </w:r>
      <w:r>
        <w:rPr>
          <w:rFonts w:hint="eastAsia" w:ascii="仿宋_GB2312" w:eastAsia="仿宋_GB2312"/>
          <w:sz w:val="32"/>
          <w:szCs w:val="32"/>
        </w:rPr>
        <w:t>进行</w:t>
      </w:r>
      <w:r>
        <w:rPr>
          <w:rFonts w:ascii="仿宋_GB2312" w:eastAsia="仿宋_GB2312"/>
          <w:sz w:val="32"/>
          <w:szCs w:val="32"/>
        </w:rPr>
        <w:t>汇总统计</w:t>
      </w:r>
      <w:r>
        <w:rPr>
          <w:rFonts w:hint="eastAsia" w:ascii="仿宋_GB2312" w:eastAsia="仿宋_GB2312"/>
          <w:sz w:val="32"/>
          <w:szCs w:val="32"/>
        </w:rPr>
        <w:t>（见</w:t>
      </w:r>
      <w:r>
        <w:rPr>
          <w:rFonts w:ascii="仿宋_GB2312" w:eastAsia="仿宋_GB2312"/>
          <w:sz w:val="32"/>
          <w:szCs w:val="32"/>
        </w:rPr>
        <w:t>附表</w:t>
      </w:r>
      <w:r>
        <w:rPr>
          <w:rFonts w:hint="eastAsia" w:ascii="仿宋_GB2312" w:eastAsia="仿宋_GB2312"/>
          <w:sz w:val="32"/>
          <w:szCs w:val="32"/>
        </w:rPr>
        <w:t>2）</w:t>
      </w:r>
      <w:r>
        <w:rPr>
          <w:rFonts w:ascii="仿宋_GB2312" w:eastAsia="仿宋_GB2312"/>
          <w:sz w:val="32"/>
          <w:szCs w:val="32"/>
        </w:rPr>
        <w:t>，并对统计结果进行分析，</w:t>
      </w:r>
      <w:r>
        <w:rPr>
          <w:rFonts w:hint="eastAsia" w:ascii="仿宋_GB2312" w:eastAsia="仿宋_GB2312"/>
          <w:sz w:val="32"/>
          <w:szCs w:val="32"/>
        </w:rPr>
        <w:t>并</w:t>
      </w:r>
      <w:r>
        <w:rPr>
          <w:rFonts w:ascii="仿宋_GB2312" w:eastAsia="仿宋_GB2312"/>
          <w:sz w:val="32"/>
          <w:szCs w:val="32"/>
        </w:rPr>
        <w:t>于</w:t>
      </w:r>
      <w:r>
        <w:rPr>
          <w:rFonts w:hint="eastAsia" w:ascii="仿宋_GB2312" w:eastAsia="仿宋_GB2312"/>
          <w:sz w:val="32"/>
          <w:szCs w:val="32"/>
        </w:rPr>
        <w:t>2020年</w:t>
      </w:r>
      <w:r>
        <w:rPr>
          <w:rFonts w:hint="eastAsia" w:ascii="仿宋_GB2312" w:eastAsia="仿宋_GB2312"/>
          <w:color w:val="auto"/>
          <w:sz w:val="32"/>
          <w:szCs w:val="32"/>
        </w:rPr>
        <w:t>11月</w:t>
      </w:r>
      <w:r>
        <w:rPr>
          <w:rFonts w:ascii="仿宋_GB2312" w:eastAsia="仿宋_GB2312"/>
          <w:color w:val="auto"/>
          <w:sz w:val="32"/>
          <w:szCs w:val="32"/>
        </w:rPr>
        <w:t>15</w:t>
      </w:r>
      <w:r>
        <w:rPr>
          <w:rFonts w:hint="eastAsia" w:ascii="仿宋_GB2312" w:eastAsia="仿宋_GB2312"/>
          <w:color w:val="auto"/>
          <w:sz w:val="32"/>
          <w:szCs w:val="32"/>
        </w:rPr>
        <w:t>日</w:t>
      </w:r>
      <w:r>
        <w:rPr>
          <w:rFonts w:ascii="仿宋_GB2312" w:eastAsia="仿宋_GB2312"/>
          <w:color w:val="auto"/>
          <w:sz w:val="32"/>
          <w:szCs w:val="32"/>
        </w:rPr>
        <w:t>前</w:t>
      </w:r>
      <w:r>
        <w:rPr>
          <w:rFonts w:hint="eastAsia" w:ascii="仿宋_GB2312" w:eastAsia="仿宋_GB2312"/>
          <w:color w:val="auto"/>
          <w:sz w:val="32"/>
          <w:szCs w:val="32"/>
        </w:rPr>
        <w:t>将</w:t>
      </w:r>
      <w:r>
        <w:rPr>
          <w:rFonts w:ascii="仿宋_GB2312" w:eastAsia="仿宋_GB2312"/>
          <w:color w:val="auto"/>
          <w:sz w:val="32"/>
          <w:szCs w:val="32"/>
        </w:rPr>
        <w:t>全年情况报</w:t>
      </w:r>
      <w:r>
        <w:rPr>
          <w:rFonts w:ascii="仿宋_GB2312" w:eastAsia="仿宋_GB2312"/>
          <w:sz w:val="32"/>
          <w:szCs w:val="32"/>
        </w:rPr>
        <w:t>告</w:t>
      </w:r>
      <w:r>
        <w:rPr>
          <w:rFonts w:hint="eastAsia" w:ascii="仿宋_GB2312" w:eastAsia="仿宋_GB2312"/>
          <w:sz w:val="32"/>
          <w:szCs w:val="32"/>
        </w:rPr>
        <w:t>（包括问题、经验、建议等）发</w:t>
      </w:r>
      <w:r>
        <w:rPr>
          <w:rFonts w:ascii="仿宋_GB2312" w:eastAsia="仿宋_GB2312"/>
          <w:sz w:val="32"/>
          <w:szCs w:val="32"/>
        </w:rPr>
        <w:t>送至</w:t>
      </w:r>
      <w:r>
        <w:rPr>
          <w:rFonts w:ascii="仿宋_GB2312" w:hAnsi="Calibri" w:eastAsia="仿宋_GB2312"/>
          <w:sz w:val="32"/>
          <w:szCs w:val="32"/>
        </w:rPr>
        <w:t>wsjdsyk@wjw.beijing.gov.cn</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联系人及电</w:t>
      </w:r>
      <w:r>
        <w:rPr>
          <w:rFonts w:ascii="仿宋_GB2312" w:eastAsia="仿宋_GB2312"/>
          <w:sz w:val="32"/>
          <w:szCs w:val="32"/>
        </w:rPr>
        <w:t>话</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市</w:t>
      </w:r>
      <w:r>
        <w:rPr>
          <w:rFonts w:ascii="仿宋_GB2312" w:eastAsia="仿宋_GB2312"/>
          <w:sz w:val="32"/>
          <w:szCs w:val="32"/>
        </w:rPr>
        <w:t>卫生</w:t>
      </w:r>
      <w:r>
        <w:rPr>
          <w:rFonts w:hint="eastAsia" w:ascii="仿宋_GB2312" w:eastAsia="仿宋_GB2312"/>
          <w:sz w:val="32"/>
          <w:szCs w:val="32"/>
        </w:rPr>
        <w:t>健康</w:t>
      </w:r>
      <w:r>
        <w:rPr>
          <w:rFonts w:ascii="仿宋_GB2312" w:eastAsia="仿宋_GB2312"/>
          <w:sz w:val="32"/>
          <w:szCs w:val="32"/>
        </w:rPr>
        <w:t>监督所</w:t>
      </w:r>
      <w:r>
        <w:rPr>
          <w:rFonts w:hint="eastAsia" w:ascii="仿宋_GB2312" w:eastAsia="仿宋_GB2312"/>
          <w:sz w:val="32"/>
          <w:szCs w:val="32"/>
        </w:rPr>
        <w:t xml:space="preserve"> </w:t>
      </w:r>
      <w:r>
        <w:rPr>
          <w:rFonts w:ascii="仿宋_GB2312" w:eastAsia="仿宋_GB2312"/>
          <w:sz w:val="32"/>
          <w:szCs w:val="32"/>
        </w:rPr>
        <w:t>徐娜</w:t>
      </w:r>
      <w:r>
        <w:rPr>
          <w:rFonts w:hint="eastAsia" w:ascii="仿宋_GB2312" w:eastAsia="仿宋_GB2312"/>
          <w:sz w:val="32"/>
          <w:szCs w:val="32"/>
        </w:rPr>
        <w:t xml:space="preserve">  </w:t>
      </w:r>
      <w:r>
        <w:rPr>
          <w:rFonts w:ascii="仿宋_GB2312" w:hAnsi="Calibri" w:eastAsia="仿宋_GB2312"/>
          <w:sz w:val="32"/>
          <w:szCs w:val="32"/>
        </w:rPr>
        <w:t>83366852</w:t>
      </w:r>
    </w:p>
    <w:p>
      <w:pPr>
        <w:spacing w:line="360" w:lineRule="auto"/>
        <w:ind w:firstLine="640" w:firstLineChars="200"/>
        <w:rPr>
          <w:rFonts w:ascii="仿宋_GB2312" w:hAnsi="Calibri" w:eastAsia="仿宋_GB2312"/>
          <w:sz w:val="32"/>
          <w:szCs w:val="32"/>
        </w:rPr>
      </w:pP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附表：1.2020年医疗机构国家随机监督抽查工作计划表</w:t>
      </w:r>
    </w:p>
    <w:p>
      <w:pPr>
        <w:spacing w:line="360" w:lineRule="auto"/>
        <w:ind w:firstLine="1600" w:firstLineChars="500"/>
        <w:rPr>
          <w:rFonts w:ascii="仿宋_GB2312" w:hAnsi="Calibri" w:eastAsia="仿宋_GB2312"/>
          <w:sz w:val="32"/>
          <w:szCs w:val="32"/>
        </w:rPr>
        <w:sectPr>
          <w:footerReference r:id="rId4" w:type="default"/>
          <w:pgSz w:w="11906" w:h="16838"/>
          <w:pgMar w:top="1797" w:right="1440" w:bottom="1797" w:left="1440" w:header="851" w:footer="992" w:gutter="0"/>
          <w:cols w:space="720" w:num="1"/>
          <w:docGrid w:linePitch="435" w:charSpace="200"/>
        </w:sectPr>
      </w:pPr>
      <w:r>
        <w:rPr>
          <w:rFonts w:ascii="仿宋_GB2312" w:hAnsi="Calibri" w:eastAsia="仿宋_GB2312"/>
          <w:sz w:val="32"/>
          <w:szCs w:val="32"/>
        </w:rPr>
        <w:t>2</w:t>
      </w:r>
      <w:r>
        <w:rPr>
          <w:rFonts w:hint="eastAsia" w:ascii="仿宋_GB2312" w:hAnsi="Calibri" w:eastAsia="仿宋_GB2312"/>
          <w:sz w:val="32"/>
          <w:szCs w:val="32"/>
        </w:rPr>
        <w:t>.20</w:t>
      </w:r>
      <w:r>
        <w:rPr>
          <w:rFonts w:ascii="仿宋_GB2312" w:hAnsi="Calibri" w:eastAsia="仿宋_GB2312"/>
          <w:sz w:val="32"/>
          <w:szCs w:val="32"/>
        </w:rPr>
        <w:t>20</w:t>
      </w:r>
      <w:r>
        <w:rPr>
          <w:rFonts w:hint="eastAsia" w:ascii="仿宋_GB2312" w:hAnsi="Calibri" w:eastAsia="仿宋_GB2312"/>
          <w:sz w:val="32"/>
          <w:szCs w:val="32"/>
        </w:rPr>
        <w:t>年医疗机构国家随机</w:t>
      </w:r>
      <w:r>
        <w:rPr>
          <w:rFonts w:ascii="仿宋_GB2312" w:hAnsi="Calibri" w:eastAsia="仿宋_GB2312"/>
          <w:sz w:val="32"/>
          <w:szCs w:val="32"/>
        </w:rPr>
        <w:t>监督抽查汇总表</w:t>
      </w:r>
    </w:p>
    <w:p>
      <w:pPr>
        <w:rPr>
          <w:rFonts w:ascii="黑体" w:hAnsi="黑体" w:eastAsia="黑体"/>
          <w:sz w:val="32"/>
          <w:szCs w:val="32"/>
        </w:rPr>
      </w:pPr>
      <w:r>
        <w:rPr>
          <w:rFonts w:hint="eastAsia" w:ascii="仿宋" w:hAnsi="仿宋" w:eastAsia="仿宋" w:cs="仿宋"/>
          <w:sz w:val="32"/>
          <w:szCs w:val="32"/>
        </w:rPr>
        <w:t>附表1</w:t>
      </w:r>
    </w:p>
    <w:p>
      <w:pPr>
        <w:jc w:val="center"/>
        <w:rPr>
          <w:rFonts w:hint="eastAsia" w:ascii="方正小标宋_GBK" w:hAnsi="黑体" w:eastAsia="方正小标宋_GBK"/>
          <w:sz w:val="36"/>
          <w:szCs w:val="36"/>
        </w:rPr>
      </w:pPr>
      <w:r>
        <w:rPr>
          <w:rFonts w:hint="eastAsia" w:ascii="方正小标宋_GBK" w:hAnsi="黑体" w:eastAsia="方正小标宋_GBK"/>
          <w:sz w:val="36"/>
          <w:szCs w:val="36"/>
        </w:rPr>
        <w:t>2020年医疗机构国家随机监督抽查工作计划表</w:t>
      </w:r>
    </w:p>
    <w:tbl>
      <w:tblPr>
        <w:tblStyle w:val="5"/>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序号</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监督检查对象</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抽检比例</w:t>
            </w:r>
          </w:p>
        </w:tc>
        <w:tc>
          <w:tcPr>
            <w:tcW w:w="7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检查内容</w:t>
            </w:r>
          </w:p>
        </w:tc>
        <w:tc>
          <w:tcPr>
            <w:tcW w:w="16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医院（含中医院）</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12%</w:t>
            </w:r>
          </w:p>
        </w:tc>
        <w:tc>
          <w:tcPr>
            <w:tcW w:w="7796" w:type="dxa"/>
            <w:vMerge w:val="restart"/>
            <w:tcBorders>
              <w:top w:val="single" w:color="auto" w:sz="4" w:space="0"/>
              <w:left w:val="single" w:color="auto" w:sz="4" w:space="0"/>
              <w:right w:val="single" w:color="auto" w:sz="4" w:space="0"/>
            </w:tcBorders>
            <w:vAlign w:val="center"/>
          </w:tcPr>
          <w:p>
            <w:pPr>
              <w:spacing w:line="360" w:lineRule="auto"/>
              <w:rPr>
                <w:rFonts w:ascii="仿宋_GB2312" w:eastAsia="仿宋_GB2312"/>
                <w:sz w:val="24"/>
              </w:rPr>
            </w:pPr>
            <w:r>
              <w:rPr>
                <w:rFonts w:hint="eastAsia" w:ascii="仿宋_GB2312" w:eastAsia="仿宋_GB2312"/>
                <w:sz w:val="24"/>
              </w:rPr>
              <w:t>1.医疗机构资质（《医疗机构执业许可证》、人员资格、诊疗活动、健康体检）管理情况；</w:t>
            </w:r>
          </w:p>
          <w:p>
            <w:pPr>
              <w:spacing w:line="360" w:lineRule="auto"/>
              <w:rPr>
                <w:rFonts w:ascii="仿宋_GB2312" w:eastAsia="仿宋_GB2312"/>
                <w:sz w:val="24"/>
              </w:rPr>
            </w:pPr>
            <w:r>
              <w:rPr>
                <w:rFonts w:hint="eastAsia" w:ascii="仿宋_GB2312" w:eastAsia="仿宋_GB2312"/>
                <w:sz w:val="24"/>
              </w:rPr>
              <w:t>2.卫生技术人员（医师、外国医师、香港澳门医师、台湾医师、乡村医生、药师、护士、医技人员）管理情况；</w:t>
            </w:r>
          </w:p>
          <w:p>
            <w:pPr>
              <w:spacing w:line="360" w:lineRule="auto"/>
              <w:rPr>
                <w:rFonts w:ascii="仿宋_GB2312" w:eastAsia="仿宋_GB2312"/>
                <w:sz w:val="24"/>
              </w:rPr>
            </w:pPr>
            <w:r>
              <w:rPr>
                <w:rFonts w:hint="eastAsia" w:ascii="仿宋_GB2312" w:eastAsia="仿宋_GB2312"/>
                <w:sz w:val="24"/>
              </w:rPr>
              <w:t>3.药品和医疗器械（麻醉药品、精神药品、抗菌药物、医疗器械）管理情况；</w:t>
            </w:r>
          </w:p>
          <w:p>
            <w:pPr>
              <w:spacing w:line="360" w:lineRule="auto"/>
              <w:rPr>
                <w:rFonts w:ascii="仿宋_GB2312" w:eastAsia="仿宋_GB2312"/>
                <w:sz w:val="24"/>
              </w:rPr>
            </w:pPr>
            <w:r>
              <w:rPr>
                <w:rFonts w:hint="eastAsia" w:ascii="仿宋_GB2312" w:eastAsia="仿宋_GB2312"/>
                <w:sz w:val="24"/>
              </w:rPr>
              <w:t>4.医疗技术（医疗美容、临床基因扩增、干细胞临床研究、临床研究项目）管理情况；</w:t>
            </w:r>
          </w:p>
          <w:p>
            <w:pPr>
              <w:spacing w:line="360" w:lineRule="auto"/>
              <w:rPr>
                <w:rFonts w:ascii="仿宋_GB2312" w:eastAsia="仿宋_GB2312"/>
                <w:sz w:val="24"/>
              </w:rPr>
            </w:pPr>
            <w:r>
              <w:rPr>
                <w:rFonts w:hint="eastAsia" w:ascii="仿宋_GB2312" w:eastAsia="仿宋_GB2312"/>
                <w:sz w:val="24"/>
              </w:rPr>
              <w:t>5.医疗文书（处方、病历、医学证明文件）管理情况；</w:t>
            </w:r>
          </w:p>
          <w:p>
            <w:pPr>
              <w:spacing w:line="360" w:lineRule="auto"/>
              <w:rPr>
                <w:rFonts w:ascii="仿宋_GB2312" w:eastAsia="仿宋_GB2312"/>
                <w:sz w:val="24"/>
              </w:rPr>
            </w:pPr>
            <w:r>
              <w:rPr>
                <w:rFonts w:hint="eastAsia" w:ascii="仿宋_GB2312" w:eastAsia="仿宋_GB2312"/>
                <w:sz w:val="24"/>
                <w:szCs w:val="24"/>
              </w:rPr>
              <w:t>6.临床用血（用血来源、管理组织和制度，血液储存，应急用血采血）管理情况。</w:t>
            </w:r>
          </w:p>
        </w:tc>
        <w:tc>
          <w:tcPr>
            <w:tcW w:w="1644" w:type="dxa"/>
            <w:vMerge w:val="restart"/>
            <w:tcBorders>
              <w:top w:val="single" w:color="auto" w:sz="4" w:space="0"/>
              <w:left w:val="single" w:color="auto" w:sz="4" w:space="0"/>
              <w:right w:val="single" w:color="auto" w:sz="4" w:space="0"/>
            </w:tcBorders>
            <w:vAlign w:val="center"/>
          </w:tcPr>
          <w:p>
            <w:pPr>
              <w:spacing w:line="360" w:lineRule="auto"/>
              <w:rPr>
                <w:rFonts w:ascii="仿宋_GB2312" w:eastAsia="仿宋_GB2312"/>
                <w:sz w:val="24"/>
              </w:rPr>
            </w:pPr>
            <w:r>
              <w:rPr>
                <w:rFonts w:ascii="仿宋_GB2312" w:eastAsia="仿宋_GB2312"/>
                <w:sz w:val="24"/>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社区卫生服务</w:t>
            </w:r>
            <w:r>
              <w:rPr>
                <w:rFonts w:ascii="仿宋_GB2312" w:eastAsia="仿宋_GB2312"/>
                <w:sz w:val="24"/>
              </w:rPr>
              <w:t>机构</w:t>
            </w:r>
          </w:p>
        </w:tc>
        <w:tc>
          <w:tcPr>
            <w:tcW w:w="1418"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7796" w:type="dxa"/>
            <w:vMerge w:val="continue"/>
            <w:tcBorders>
              <w:left w:val="single" w:color="auto" w:sz="4" w:space="0"/>
              <w:right w:val="single" w:color="auto" w:sz="4" w:space="0"/>
            </w:tcBorders>
            <w:vAlign w:val="center"/>
          </w:tcPr>
          <w:p>
            <w:pPr>
              <w:spacing w:line="360" w:lineRule="auto"/>
              <w:rPr>
                <w:rFonts w:ascii="仿宋_GB2312" w:eastAsia="仿宋_GB2312"/>
                <w:sz w:val="24"/>
              </w:rPr>
            </w:pPr>
          </w:p>
        </w:tc>
        <w:tc>
          <w:tcPr>
            <w:tcW w:w="1644" w:type="dxa"/>
            <w:vMerge w:val="continue"/>
            <w:tcBorders>
              <w:left w:val="single" w:color="auto" w:sz="4" w:space="0"/>
              <w:right w:val="single" w:color="auto" w:sz="4" w:space="0"/>
            </w:tcBorders>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卫生院</w:t>
            </w:r>
          </w:p>
        </w:tc>
        <w:tc>
          <w:tcPr>
            <w:tcW w:w="1418" w:type="dxa"/>
            <w:vMerge w:val="continue"/>
            <w:tcBorders>
              <w:top w:val="single" w:color="auto" w:sz="4" w:space="0"/>
              <w:left w:val="single" w:color="auto" w:sz="4" w:space="0"/>
              <w:right w:val="single" w:color="auto" w:sz="4" w:space="0"/>
            </w:tcBorders>
            <w:vAlign w:val="center"/>
          </w:tcPr>
          <w:p>
            <w:pPr>
              <w:spacing w:line="360" w:lineRule="auto"/>
              <w:jc w:val="center"/>
              <w:rPr>
                <w:rFonts w:ascii="仿宋_GB2312" w:eastAsia="仿宋_GB2312"/>
                <w:sz w:val="24"/>
              </w:rPr>
            </w:pPr>
          </w:p>
        </w:tc>
        <w:tc>
          <w:tcPr>
            <w:tcW w:w="7796" w:type="dxa"/>
            <w:vMerge w:val="continue"/>
            <w:tcBorders>
              <w:left w:val="single" w:color="auto" w:sz="4" w:space="0"/>
              <w:right w:val="single" w:color="auto" w:sz="4" w:space="0"/>
            </w:tcBorders>
            <w:vAlign w:val="center"/>
          </w:tcPr>
          <w:p>
            <w:pPr>
              <w:spacing w:line="360" w:lineRule="auto"/>
              <w:rPr>
                <w:rFonts w:ascii="仿宋_GB2312" w:eastAsia="仿宋_GB2312"/>
                <w:sz w:val="24"/>
              </w:rPr>
            </w:pPr>
          </w:p>
        </w:tc>
        <w:tc>
          <w:tcPr>
            <w:tcW w:w="1644" w:type="dxa"/>
            <w:vMerge w:val="continue"/>
            <w:tcBorders>
              <w:left w:val="single" w:color="auto" w:sz="4" w:space="0"/>
              <w:right w:val="single" w:color="auto" w:sz="4" w:space="0"/>
            </w:tcBorders>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4</w:t>
            </w:r>
          </w:p>
        </w:tc>
        <w:tc>
          <w:tcPr>
            <w:tcW w:w="27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ascii="仿宋_GB2312" w:eastAsia="仿宋_GB2312"/>
                <w:sz w:val="24"/>
              </w:rPr>
              <w:t>村卫生室（所）</w:t>
            </w:r>
          </w:p>
        </w:tc>
        <w:tc>
          <w:tcPr>
            <w:tcW w:w="1418" w:type="dxa"/>
            <w:vMerge w:val="continue"/>
            <w:tcBorders>
              <w:left w:val="single" w:color="auto" w:sz="4" w:space="0"/>
              <w:right w:val="single" w:color="auto" w:sz="4" w:space="0"/>
            </w:tcBorders>
            <w:vAlign w:val="center"/>
          </w:tcPr>
          <w:p>
            <w:pPr>
              <w:spacing w:line="360" w:lineRule="auto"/>
              <w:jc w:val="center"/>
              <w:rPr>
                <w:rFonts w:ascii="仿宋_GB2312" w:eastAsia="仿宋_GB2312"/>
                <w:sz w:val="24"/>
              </w:rPr>
            </w:pPr>
          </w:p>
        </w:tc>
        <w:tc>
          <w:tcPr>
            <w:tcW w:w="7796" w:type="dxa"/>
            <w:vMerge w:val="continue"/>
            <w:tcBorders>
              <w:left w:val="single" w:color="auto" w:sz="4" w:space="0"/>
              <w:right w:val="single" w:color="auto" w:sz="4" w:space="0"/>
            </w:tcBorders>
            <w:vAlign w:val="center"/>
          </w:tcPr>
          <w:p>
            <w:pPr>
              <w:spacing w:line="360" w:lineRule="auto"/>
              <w:rPr>
                <w:rFonts w:ascii="仿宋_GB2312" w:eastAsia="仿宋_GB2312"/>
                <w:sz w:val="24"/>
              </w:rPr>
            </w:pPr>
          </w:p>
        </w:tc>
        <w:tc>
          <w:tcPr>
            <w:tcW w:w="1644" w:type="dxa"/>
            <w:vMerge w:val="continue"/>
            <w:tcBorders>
              <w:left w:val="single" w:color="auto" w:sz="4" w:space="0"/>
              <w:right w:val="single" w:color="auto" w:sz="4" w:space="0"/>
            </w:tcBorders>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jc w:val="center"/>
        </w:trPr>
        <w:tc>
          <w:tcPr>
            <w:tcW w:w="985" w:type="dxa"/>
            <w:tcBorders>
              <w:top w:val="single" w:color="auto" w:sz="4" w:space="0"/>
              <w:left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2719" w:type="dxa"/>
            <w:tcBorders>
              <w:top w:val="single" w:color="auto" w:sz="4" w:space="0"/>
              <w:left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其他医疗机构</w:t>
            </w:r>
          </w:p>
        </w:tc>
        <w:tc>
          <w:tcPr>
            <w:tcW w:w="1418" w:type="dxa"/>
            <w:vMerge w:val="continue"/>
            <w:tcBorders>
              <w:left w:val="single" w:color="auto" w:sz="4" w:space="0"/>
              <w:right w:val="single" w:color="auto" w:sz="4" w:space="0"/>
            </w:tcBorders>
            <w:vAlign w:val="center"/>
          </w:tcPr>
          <w:p>
            <w:pPr>
              <w:spacing w:line="360" w:lineRule="auto"/>
              <w:jc w:val="center"/>
              <w:rPr>
                <w:rFonts w:ascii="仿宋_GB2312" w:eastAsia="仿宋_GB2312"/>
                <w:sz w:val="24"/>
              </w:rPr>
            </w:pPr>
          </w:p>
        </w:tc>
        <w:tc>
          <w:tcPr>
            <w:tcW w:w="7796" w:type="dxa"/>
            <w:vMerge w:val="continue"/>
            <w:tcBorders>
              <w:left w:val="single" w:color="auto" w:sz="4" w:space="0"/>
              <w:right w:val="single" w:color="auto" w:sz="4" w:space="0"/>
            </w:tcBorders>
            <w:vAlign w:val="center"/>
          </w:tcPr>
          <w:p>
            <w:pPr>
              <w:spacing w:line="360" w:lineRule="auto"/>
              <w:rPr>
                <w:rFonts w:ascii="仿宋_GB2312" w:eastAsia="仿宋_GB2312"/>
                <w:sz w:val="24"/>
              </w:rPr>
            </w:pPr>
          </w:p>
        </w:tc>
        <w:tc>
          <w:tcPr>
            <w:tcW w:w="1644" w:type="dxa"/>
            <w:vMerge w:val="continue"/>
            <w:tcBorders>
              <w:left w:val="single" w:color="auto" w:sz="4" w:space="0"/>
              <w:right w:val="single" w:color="auto" w:sz="4" w:space="0"/>
            </w:tcBorders>
            <w:vAlign w:val="center"/>
          </w:tcPr>
          <w:p>
            <w:pPr>
              <w:spacing w:line="360" w:lineRule="auto"/>
              <w:jc w:val="center"/>
              <w:rPr>
                <w:rFonts w:ascii="仿宋_GB2312" w:eastAsia="仿宋_GB2312"/>
                <w:sz w:val="24"/>
              </w:rPr>
            </w:pPr>
          </w:p>
        </w:tc>
      </w:tr>
    </w:tbl>
    <w:p>
      <w:pPr>
        <w:spacing w:before="312" w:beforeLines="100"/>
        <w:rPr>
          <w:rFonts w:ascii="黑体" w:hAnsi="黑体" w:eastAsia="黑体"/>
          <w:sz w:val="32"/>
          <w:szCs w:val="32"/>
        </w:rPr>
      </w:pPr>
      <w:r>
        <w:rPr>
          <w:rFonts w:ascii="黑体" w:hAnsi="黑体" w:eastAsia="黑体"/>
          <w:sz w:val="32"/>
          <w:szCs w:val="32"/>
        </w:rPr>
        <w:br w:type="page"/>
      </w:r>
    </w:p>
    <w:p>
      <w:pPr>
        <w:rPr>
          <w:rFonts w:hint="eastAsia" w:ascii="仿宋" w:hAnsi="仿宋" w:eastAsia="仿宋" w:cs="仿宋"/>
          <w:b/>
          <w:sz w:val="32"/>
          <w:szCs w:val="32"/>
        </w:rPr>
      </w:pPr>
      <w:r>
        <w:rPr>
          <w:rFonts w:hint="eastAsia" w:ascii="仿宋" w:hAnsi="仿宋" w:eastAsia="仿宋" w:cs="仿宋"/>
          <w:sz w:val="32"/>
          <w:szCs w:val="32"/>
        </w:rPr>
        <w:t>附表2</w:t>
      </w:r>
    </w:p>
    <w:p>
      <w:pPr>
        <w:spacing w:line="500" w:lineRule="exact"/>
        <w:jc w:val="center"/>
        <w:rPr>
          <w:rFonts w:hint="eastAsia" w:ascii="宋体" w:hAnsi="宋体" w:eastAsia="宋体" w:cs="宋体"/>
          <w:b w:val="0"/>
          <w:bCs/>
          <w:sz w:val="36"/>
          <w:szCs w:val="36"/>
        </w:rPr>
      </w:pPr>
      <w:r>
        <w:rPr>
          <w:rFonts w:hint="eastAsia" w:ascii="方正小标宋_GBK" w:hAnsi="黑体" w:eastAsia="方正小标宋_GBK"/>
          <w:sz w:val="36"/>
          <w:szCs w:val="36"/>
        </w:rPr>
        <w:t>2020年医疗机构国家随机监督抽查汇总表</w:t>
      </w:r>
    </w:p>
    <w:tbl>
      <w:tblPr>
        <w:tblStyle w:val="5"/>
        <w:tblpPr w:leftFromText="180" w:rightFromText="180" w:vertAnchor="text" w:horzAnchor="page" w:tblpX="1034" w:tblpY="165"/>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8"/>
        <w:gridCol w:w="284"/>
        <w:gridCol w:w="353"/>
        <w:gridCol w:w="665"/>
        <w:gridCol w:w="523"/>
        <w:gridCol w:w="421"/>
        <w:gridCol w:w="421"/>
        <w:gridCol w:w="421"/>
        <w:gridCol w:w="643"/>
        <w:gridCol w:w="422"/>
        <w:gridCol w:w="422"/>
        <w:gridCol w:w="422"/>
        <w:gridCol w:w="424"/>
        <w:gridCol w:w="422"/>
        <w:gridCol w:w="422"/>
        <w:gridCol w:w="422"/>
        <w:gridCol w:w="422"/>
        <w:gridCol w:w="422"/>
        <w:gridCol w:w="422"/>
        <w:gridCol w:w="422"/>
        <w:gridCol w:w="422"/>
        <w:gridCol w:w="423"/>
        <w:gridCol w:w="422"/>
        <w:gridCol w:w="422"/>
        <w:gridCol w:w="423"/>
        <w:gridCol w:w="422"/>
        <w:gridCol w:w="422"/>
        <w:gridCol w:w="422"/>
        <w:gridCol w:w="423"/>
        <w:gridCol w:w="298"/>
        <w:gridCol w:w="284"/>
        <w:gridCol w:w="283"/>
        <w:gridCol w:w="284"/>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846" w:type="dxa"/>
            <w:vMerge w:val="restart"/>
            <w:vAlign w:val="center"/>
          </w:tcPr>
          <w:p>
            <w:pPr>
              <w:spacing w:before="100" w:beforeAutospacing="1" w:after="100" w:afterAutospacing="1" w:line="240" w:lineRule="exact"/>
              <w:ind w:left="364" w:hanging="364" w:hangingChars="202"/>
              <w:jc w:val="center"/>
              <w:rPr>
                <w:rFonts w:ascii="仿宋" w:hAnsi="仿宋" w:eastAsia="仿宋"/>
                <w:color w:val="000000"/>
                <w:sz w:val="18"/>
                <w:szCs w:val="18"/>
              </w:rPr>
            </w:pPr>
            <w:r>
              <w:rPr>
                <w:rFonts w:ascii="仿宋" w:hAnsi="仿宋" w:eastAsia="仿宋"/>
                <w:color w:val="000000"/>
                <w:sz w:val="18"/>
                <w:szCs w:val="18"/>
              </w:rPr>
              <w:t>单位</w:t>
            </w:r>
          </w:p>
          <w:p>
            <w:pPr>
              <w:spacing w:before="100" w:beforeAutospacing="1" w:after="100" w:afterAutospacing="1" w:line="240" w:lineRule="exact"/>
              <w:ind w:left="364" w:hanging="364" w:hangingChars="202"/>
              <w:jc w:val="center"/>
              <w:rPr>
                <w:rFonts w:ascii="仿宋" w:hAnsi="仿宋" w:eastAsia="仿宋"/>
                <w:color w:val="000000"/>
                <w:sz w:val="18"/>
                <w:szCs w:val="18"/>
              </w:rPr>
            </w:pPr>
            <w:r>
              <w:rPr>
                <w:rFonts w:ascii="仿宋" w:hAnsi="仿宋" w:eastAsia="仿宋"/>
                <w:color w:val="000000"/>
                <w:sz w:val="18"/>
                <w:szCs w:val="18"/>
              </w:rPr>
              <w:t>类别</w:t>
            </w:r>
          </w:p>
        </w:tc>
        <w:tc>
          <w:tcPr>
            <w:tcW w:w="288" w:type="dxa"/>
            <w:vMerge w:val="restart"/>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辖区内单位总数</w:t>
            </w:r>
          </w:p>
        </w:tc>
        <w:tc>
          <w:tcPr>
            <w:tcW w:w="284" w:type="dxa"/>
            <w:vMerge w:val="restart"/>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检查单位数</w:t>
            </w:r>
          </w:p>
        </w:tc>
        <w:tc>
          <w:tcPr>
            <w:tcW w:w="11892" w:type="dxa"/>
            <w:gridSpan w:val="27"/>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不合格情况</w:t>
            </w:r>
          </w:p>
        </w:tc>
        <w:tc>
          <w:tcPr>
            <w:tcW w:w="1540" w:type="dxa"/>
            <w:gridSpan w:val="5"/>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46"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8"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1962" w:type="dxa"/>
            <w:gridSpan w:val="4"/>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医疗机构资质管理</w:t>
            </w:r>
          </w:p>
        </w:tc>
        <w:tc>
          <w:tcPr>
            <w:tcW w:w="3175" w:type="dxa"/>
            <w:gridSpan w:val="7"/>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医务人员管理</w:t>
            </w:r>
          </w:p>
        </w:tc>
        <w:tc>
          <w:tcPr>
            <w:tcW w:w="1266" w:type="dxa"/>
            <w:gridSpan w:val="3"/>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药品和医疗器械管理</w:t>
            </w:r>
          </w:p>
        </w:tc>
        <w:tc>
          <w:tcPr>
            <w:tcW w:w="2533" w:type="dxa"/>
            <w:gridSpan w:val="6"/>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医疗技术管理</w:t>
            </w:r>
          </w:p>
        </w:tc>
        <w:tc>
          <w:tcPr>
            <w:tcW w:w="1267" w:type="dxa"/>
            <w:gridSpan w:val="3"/>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医疗文书管理</w:t>
            </w:r>
          </w:p>
        </w:tc>
        <w:tc>
          <w:tcPr>
            <w:tcW w:w="1689" w:type="dxa"/>
            <w:gridSpan w:val="4"/>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临床用血管理</w:t>
            </w:r>
          </w:p>
        </w:tc>
        <w:tc>
          <w:tcPr>
            <w:tcW w:w="298" w:type="dxa"/>
            <w:vMerge w:val="restart"/>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查处案件数</w:t>
            </w:r>
          </w:p>
        </w:tc>
        <w:tc>
          <w:tcPr>
            <w:tcW w:w="284" w:type="dxa"/>
            <w:vMerge w:val="restart"/>
            <w:vAlign w:val="center"/>
          </w:tcPr>
          <w:p>
            <w:pPr>
              <w:spacing w:before="100" w:beforeAutospacing="1" w:after="100" w:afterAutospacing="1" w:line="240" w:lineRule="exact"/>
              <w:rPr>
                <w:rFonts w:ascii="仿宋" w:hAnsi="仿宋" w:eastAsia="仿宋"/>
                <w:color w:val="000000"/>
                <w:sz w:val="18"/>
                <w:szCs w:val="18"/>
              </w:rPr>
            </w:pPr>
            <w:r>
              <w:rPr>
                <w:rFonts w:hint="eastAsia" w:ascii="仿宋" w:hAnsi="仿宋" w:eastAsia="仿宋"/>
                <w:color w:val="000000"/>
                <w:sz w:val="18"/>
                <w:szCs w:val="18"/>
              </w:rPr>
              <w:t>罚没款金额（万元）</w:t>
            </w:r>
          </w:p>
        </w:tc>
        <w:tc>
          <w:tcPr>
            <w:tcW w:w="283" w:type="dxa"/>
            <w:vMerge w:val="restart"/>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吊销《医疗机构执业许可证》单位数</w:t>
            </w:r>
          </w:p>
        </w:tc>
        <w:tc>
          <w:tcPr>
            <w:tcW w:w="284" w:type="dxa"/>
            <w:vMerge w:val="restart"/>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吊销诊疗科目单位数</w:t>
            </w:r>
          </w:p>
        </w:tc>
        <w:tc>
          <w:tcPr>
            <w:tcW w:w="391" w:type="dxa"/>
            <w:vMerge w:val="restart"/>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吊销《医师执业证书》医师数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846"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8"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执业许可证管理不符合要求单位数</w:t>
            </w: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人员资格管理（未使用非卫生技术人员）不符合要求单位数</w:t>
            </w: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医疗机构诊疗活动管理不符合要求单位数</w:t>
            </w: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健康体检管理不符合要求单位数</w:t>
            </w: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医师管理不符合要求单位数</w:t>
            </w: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外国医师管理不符合要求单位数</w:t>
            </w: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香港、澳门特别行政区医师管理不符合要求单位数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台湾医师管理不符合要求单位数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乡村医生管理不符合要求单位数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护士管理不符合要求单位数</w:t>
            </w: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医技人员管理不符合要求单位数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麻醉药品和精神药品管理不符合要求单位数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抗菌药物管理不符合要求单位数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医疗器械管理不符合要求单位数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禁止临床应用技术管理不符合要求单位数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限制临床应用技术管理不符合要求单位数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医疗美容管理不符合要求单位数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临床基因扩增管理不符合要求单位数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干细胞临床研究管理不符合要求单位数</w:t>
            </w: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临床研究管理不符合要求单位数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处方管理不符合要求单位数</w:t>
            </w: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病历管理不符合要求单位数</w:t>
            </w: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医学证明文件管理不符合要求单位数</w:t>
            </w: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用血来源管理不符合要求单位数</w:t>
            </w: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血液储存管理不符合要求的单位数</w:t>
            </w: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用血管理组织和制度不符合要求单位数</w:t>
            </w: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应急用血采血管理不符合要求单位数</w:t>
            </w:r>
          </w:p>
        </w:tc>
        <w:tc>
          <w:tcPr>
            <w:tcW w:w="298"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Merge w:val="continue"/>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Merge w:val="continue"/>
            <w:vAlign w:val="top"/>
          </w:tcPr>
          <w:p>
            <w:pPr>
              <w:spacing w:before="100" w:beforeAutospacing="1" w:after="100" w:afterAutospacing="1" w:line="240" w:lineRule="exact"/>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46"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医院（含中医院）</w:t>
            </w:r>
          </w:p>
        </w:tc>
        <w:tc>
          <w:tcPr>
            <w:tcW w:w="28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p>
        </w:tc>
        <w:tc>
          <w:tcPr>
            <w:tcW w:w="29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Align w:val="top"/>
          </w:tcPr>
          <w:p>
            <w:pPr>
              <w:spacing w:before="100" w:beforeAutospacing="1" w:after="100" w:afterAutospacing="1" w:line="240" w:lineRule="exact"/>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846"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社区卫生服务</w:t>
            </w:r>
            <w:r>
              <w:rPr>
                <w:rFonts w:ascii="仿宋" w:hAnsi="仿宋" w:eastAsia="仿宋"/>
                <w:color w:val="000000"/>
                <w:sz w:val="18"/>
                <w:szCs w:val="18"/>
              </w:rPr>
              <w:t>机构</w:t>
            </w:r>
          </w:p>
        </w:tc>
        <w:tc>
          <w:tcPr>
            <w:tcW w:w="28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p>
        </w:tc>
        <w:tc>
          <w:tcPr>
            <w:tcW w:w="29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Align w:val="top"/>
          </w:tcPr>
          <w:p>
            <w:pPr>
              <w:spacing w:before="100" w:beforeAutospacing="1" w:after="100" w:afterAutospacing="1" w:line="240" w:lineRule="exact"/>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846"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卫生院</w:t>
            </w:r>
          </w:p>
        </w:tc>
        <w:tc>
          <w:tcPr>
            <w:tcW w:w="28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p>
        </w:tc>
        <w:tc>
          <w:tcPr>
            <w:tcW w:w="29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Align w:val="top"/>
          </w:tcPr>
          <w:p>
            <w:pPr>
              <w:spacing w:before="100" w:beforeAutospacing="1" w:after="100" w:afterAutospacing="1" w:line="240" w:lineRule="exact"/>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846" w:type="dxa"/>
            <w:vAlign w:val="center"/>
          </w:tcPr>
          <w:p>
            <w:pPr>
              <w:spacing w:before="100" w:beforeAutospacing="1" w:after="100" w:afterAutospacing="1" w:line="240" w:lineRule="exact"/>
              <w:jc w:val="center"/>
              <w:rPr>
                <w:rFonts w:ascii="仿宋" w:hAnsi="仿宋" w:eastAsia="仿宋"/>
                <w:color w:val="000000"/>
                <w:sz w:val="18"/>
                <w:szCs w:val="18"/>
              </w:rPr>
            </w:pPr>
            <w:r>
              <w:rPr>
                <w:rFonts w:ascii="仿宋" w:hAnsi="仿宋" w:eastAsia="仿宋"/>
                <w:color w:val="000000"/>
                <w:sz w:val="18"/>
                <w:szCs w:val="18"/>
              </w:rPr>
              <w:t>村卫生室（所）</w:t>
            </w:r>
          </w:p>
        </w:tc>
        <w:tc>
          <w:tcPr>
            <w:tcW w:w="28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p>
        </w:tc>
        <w:tc>
          <w:tcPr>
            <w:tcW w:w="29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Align w:val="top"/>
          </w:tcPr>
          <w:p>
            <w:pPr>
              <w:spacing w:before="100" w:beforeAutospacing="1" w:after="100" w:afterAutospacing="1" w:line="240" w:lineRule="exact"/>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846"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其他医疗机构</w:t>
            </w:r>
          </w:p>
        </w:tc>
        <w:tc>
          <w:tcPr>
            <w:tcW w:w="28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p>
        </w:tc>
        <w:tc>
          <w:tcPr>
            <w:tcW w:w="29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Align w:val="top"/>
          </w:tcPr>
          <w:p>
            <w:pPr>
              <w:spacing w:before="100" w:beforeAutospacing="1" w:after="100" w:afterAutospacing="1" w:line="240" w:lineRule="exact"/>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846" w:type="dxa"/>
            <w:vAlign w:val="center"/>
          </w:tcPr>
          <w:p>
            <w:pPr>
              <w:spacing w:before="100" w:beforeAutospacing="1" w:after="100" w:afterAutospacing="1" w:line="240" w:lineRule="exact"/>
              <w:jc w:val="center"/>
              <w:rPr>
                <w:rFonts w:ascii="仿宋" w:hAnsi="仿宋" w:eastAsia="仿宋"/>
                <w:color w:val="000000"/>
                <w:sz w:val="18"/>
                <w:szCs w:val="18"/>
              </w:rPr>
            </w:pPr>
            <w:r>
              <w:rPr>
                <w:rFonts w:hint="eastAsia" w:ascii="仿宋" w:hAnsi="仿宋" w:eastAsia="仿宋"/>
                <w:color w:val="000000"/>
                <w:sz w:val="18"/>
                <w:szCs w:val="18"/>
              </w:rPr>
              <w:t>合计</w:t>
            </w:r>
          </w:p>
        </w:tc>
        <w:tc>
          <w:tcPr>
            <w:tcW w:w="28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5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65"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5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1"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64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2" w:type="dxa"/>
            <w:vAlign w:val="top"/>
          </w:tcPr>
          <w:p>
            <w:pPr>
              <w:spacing w:before="100" w:beforeAutospacing="1" w:after="100" w:afterAutospacing="1" w:line="240" w:lineRule="exact"/>
              <w:jc w:val="center"/>
              <w:rPr>
                <w:rFonts w:ascii="仿宋" w:hAnsi="仿宋" w:eastAsia="仿宋"/>
                <w:color w:val="000000"/>
                <w:sz w:val="18"/>
                <w:szCs w:val="18"/>
              </w:rPr>
            </w:pPr>
          </w:p>
        </w:tc>
        <w:tc>
          <w:tcPr>
            <w:tcW w:w="423" w:type="dxa"/>
            <w:vAlign w:val="top"/>
          </w:tcPr>
          <w:p>
            <w:pPr>
              <w:spacing w:before="100" w:beforeAutospacing="1" w:after="100" w:afterAutospacing="1" w:line="240" w:lineRule="exact"/>
              <w:jc w:val="center"/>
              <w:rPr>
                <w:rFonts w:ascii="仿宋" w:hAnsi="仿宋" w:eastAsia="仿宋"/>
                <w:color w:val="000000"/>
                <w:sz w:val="18"/>
                <w:szCs w:val="18"/>
              </w:rPr>
            </w:pPr>
          </w:p>
        </w:tc>
        <w:tc>
          <w:tcPr>
            <w:tcW w:w="298"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3"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284" w:type="dxa"/>
            <w:vAlign w:val="center"/>
          </w:tcPr>
          <w:p>
            <w:pPr>
              <w:spacing w:before="100" w:beforeAutospacing="1" w:after="100" w:afterAutospacing="1" w:line="240" w:lineRule="exact"/>
              <w:jc w:val="center"/>
              <w:rPr>
                <w:rFonts w:ascii="仿宋" w:hAnsi="仿宋" w:eastAsia="仿宋"/>
                <w:color w:val="000000"/>
                <w:sz w:val="18"/>
                <w:szCs w:val="18"/>
              </w:rPr>
            </w:pPr>
          </w:p>
        </w:tc>
        <w:tc>
          <w:tcPr>
            <w:tcW w:w="391" w:type="dxa"/>
            <w:vAlign w:val="top"/>
          </w:tcPr>
          <w:p>
            <w:pPr>
              <w:spacing w:before="100" w:beforeAutospacing="1" w:after="100" w:afterAutospacing="1" w:line="240" w:lineRule="exact"/>
              <w:jc w:val="center"/>
              <w:rPr>
                <w:rFonts w:ascii="仿宋" w:hAnsi="仿宋" w:eastAsia="仿宋"/>
                <w:color w:val="000000"/>
                <w:sz w:val="18"/>
                <w:szCs w:val="18"/>
              </w:rPr>
            </w:pPr>
          </w:p>
        </w:tc>
      </w:tr>
    </w:tbl>
    <w:p>
      <w:pPr>
        <w:jc w:val="center"/>
        <w:rPr>
          <w:rFonts w:ascii="仿宋" w:hAnsi="仿宋" w:eastAsia="仿宋"/>
          <w:color w:val="000000"/>
          <w:sz w:val="18"/>
          <w:szCs w:val="1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9934050">
    <w:nsid w:val="15742862"/>
    <w:multiLevelType w:val="multilevel"/>
    <w:tmpl w:val="15742862"/>
    <w:lvl w:ilvl="0" w:tentative="1">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3599340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33C0B"/>
    <w:rsid w:val="00014C2D"/>
    <w:rsid w:val="00041E13"/>
    <w:rsid w:val="00084145"/>
    <w:rsid w:val="00167D64"/>
    <w:rsid w:val="001C2384"/>
    <w:rsid w:val="00243AF8"/>
    <w:rsid w:val="002476E8"/>
    <w:rsid w:val="0032746C"/>
    <w:rsid w:val="00360B06"/>
    <w:rsid w:val="00367FFD"/>
    <w:rsid w:val="003E1E7F"/>
    <w:rsid w:val="003E71C3"/>
    <w:rsid w:val="0045371D"/>
    <w:rsid w:val="00457E46"/>
    <w:rsid w:val="004874A4"/>
    <w:rsid w:val="004D571F"/>
    <w:rsid w:val="00533C0B"/>
    <w:rsid w:val="00544DAB"/>
    <w:rsid w:val="00565706"/>
    <w:rsid w:val="00582C02"/>
    <w:rsid w:val="005B7F2F"/>
    <w:rsid w:val="005F4C86"/>
    <w:rsid w:val="00651A89"/>
    <w:rsid w:val="007110D2"/>
    <w:rsid w:val="007729DA"/>
    <w:rsid w:val="007964C2"/>
    <w:rsid w:val="007A284F"/>
    <w:rsid w:val="007B6DEB"/>
    <w:rsid w:val="007E4565"/>
    <w:rsid w:val="00803686"/>
    <w:rsid w:val="0081017C"/>
    <w:rsid w:val="008305AC"/>
    <w:rsid w:val="008612A9"/>
    <w:rsid w:val="008A668F"/>
    <w:rsid w:val="008B69DE"/>
    <w:rsid w:val="008F252A"/>
    <w:rsid w:val="008F5C7A"/>
    <w:rsid w:val="008F5D4A"/>
    <w:rsid w:val="00915E00"/>
    <w:rsid w:val="00965B31"/>
    <w:rsid w:val="00973232"/>
    <w:rsid w:val="009948CB"/>
    <w:rsid w:val="00A936C3"/>
    <w:rsid w:val="00B4727D"/>
    <w:rsid w:val="00B72375"/>
    <w:rsid w:val="00B93567"/>
    <w:rsid w:val="00C540C8"/>
    <w:rsid w:val="00C97F8E"/>
    <w:rsid w:val="00D900A6"/>
    <w:rsid w:val="00DD5131"/>
    <w:rsid w:val="00E15008"/>
    <w:rsid w:val="00E5095E"/>
    <w:rsid w:val="00E90D21"/>
    <w:rsid w:val="00EA4FB5"/>
    <w:rsid w:val="00EB15D6"/>
    <w:rsid w:val="00EF0362"/>
    <w:rsid w:val="00F0071D"/>
    <w:rsid w:val="46911890"/>
    <w:rsid w:val="481E1556"/>
    <w:rsid w:val="506A0FC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List Paragraph"/>
    <w:basedOn w:val="1"/>
    <w:qFormat/>
    <w:uiPriority w:val="34"/>
    <w:pPr>
      <w:ind w:firstLine="420" w:firstLineChars="200"/>
    </w:pPr>
  </w:style>
  <w:style w:type="character" w:customStyle="1" w:styleId="8">
    <w:name w:val="页脚 Char"/>
    <w:link w:val="2"/>
    <w:uiPriority w:val="0"/>
    <w:rPr>
      <w:sz w:val="18"/>
      <w:szCs w:val="18"/>
    </w:rPr>
  </w:style>
  <w:style w:type="character" w:customStyle="1" w:styleId="9">
    <w:name w:val="页脚 Char1"/>
    <w:basedOn w:val="4"/>
    <w:semiHidden/>
    <w:qFormat/>
    <w:uiPriority w:val="99"/>
    <w:rPr>
      <w:sz w:val="18"/>
      <w:szCs w:val="18"/>
    </w:rPr>
  </w:style>
  <w:style w:type="character" w:customStyle="1" w:styleId="10">
    <w:name w:val="页眉 Char"/>
    <w:basedOn w:val="4"/>
    <w:link w:val="3"/>
    <w:uiPriority w:val="99"/>
    <w:rPr>
      <w:sz w:val="18"/>
      <w:szCs w:val="18"/>
    </w:rPr>
  </w:style>
  <w:style w:type="table" w:customStyle="1" w:styleId="11">
    <w:name w:val="网格型1"/>
    <w:basedOn w:val="5"/>
    <w:uiPriority w:val="39"/>
    <w:pPr/>
    <w:rPr>
      <w:rFonts w:ascii="Calibri" w:hAnsi="Calibri" w:eastAsia="宋体" w:cs="Times New Roman"/>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Words>
  <Characters>1843</Characters>
  <Lines>15</Lines>
  <Paragraphs>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2019-02-18T01:50:00Z</dcterms:created>
  <dc:creator>xn</dc:creator>
  <cp:lastModifiedBy>王开斌</cp:lastModifiedBy>
  <dcterms:modified xsi:type="dcterms:W3CDTF">2020-04-15T07:34:42Z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