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360" w:lineRule="auto"/>
        <w:jc w:val="center"/>
      </w:pPr>
      <w:r>
        <w:rPr>
          <w:rFonts w:hint="eastAsia" w:ascii="方正小标宋简体" w:hAnsi="方正小标宋简体" w:eastAsia="方正小标宋简体" w:cs="方正小标宋简体"/>
          <w:b w:val="0"/>
          <w:bCs/>
          <w:sz w:val="44"/>
          <w:szCs w:val="44"/>
        </w:rPr>
        <w:t>医养结合示范机构创建</w:t>
      </w:r>
      <w:r>
        <w:rPr>
          <w:rFonts w:hint="eastAsia" w:ascii="方正小标宋简体" w:hAnsi="方正小标宋简体" w:eastAsia="方正小标宋简体" w:cs="方正小标宋简体"/>
          <w:b w:val="0"/>
          <w:bCs/>
          <w:sz w:val="44"/>
          <w:szCs w:val="44"/>
          <w:lang w:eastAsia="zh-CN"/>
        </w:rPr>
        <w:t>评估</w:t>
      </w:r>
      <w:r>
        <w:rPr>
          <w:rFonts w:hint="eastAsia" w:ascii="方正小标宋简体" w:hAnsi="方正小标宋简体" w:eastAsia="方正小标宋简体" w:cs="方正小标宋简体"/>
          <w:b w:val="0"/>
          <w:bCs/>
          <w:sz w:val="44"/>
          <w:szCs w:val="44"/>
        </w:rPr>
        <w:t>标准（</w:t>
      </w:r>
      <w:r>
        <w:rPr>
          <w:rFonts w:hint="eastAsia" w:ascii="方正小标宋简体" w:hAnsi="方正小标宋简体" w:eastAsia="方正小标宋简体" w:cs="方正小标宋简体"/>
          <w:b w:val="0"/>
          <w:bCs/>
          <w:sz w:val="44"/>
          <w:szCs w:val="44"/>
          <w:lang w:eastAsia="zh-CN"/>
        </w:rPr>
        <w:t>试行</w:t>
      </w:r>
      <w:r>
        <w:rPr>
          <w:rFonts w:hint="eastAsia" w:ascii="方正小标宋简体" w:hAnsi="方正小标宋简体" w:eastAsia="方正小标宋简体" w:cs="方正小标宋简体"/>
          <w:b w:val="0"/>
          <w:bCs/>
          <w:sz w:val="44"/>
          <w:szCs w:val="44"/>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635"/>
        <w:gridCol w:w="818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073" w:type="dxa"/>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一级指标</w:t>
            </w:r>
          </w:p>
        </w:tc>
        <w:tc>
          <w:tcPr>
            <w:tcW w:w="1635" w:type="dxa"/>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二级指标</w:t>
            </w:r>
          </w:p>
        </w:tc>
        <w:tc>
          <w:tcPr>
            <w:tcW w:w="8180" w:type="dxa"/>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eastAsia="zh-CN"/>
              </w:rPr>
              <w:t>评估</w:t>
            </w:r>
            <w:r>
              <w:rPr>
                <w:rFonts w:hint="eastAsia" w:ascii="仿宋_GB2312" w:hAnsi="仿宋_GB2312" w:eastAsia="仿宋_GB2312" w:cs="仿宋_GB2312"/>
                <w:bCs/>
                <w:kern w:val="0"/>
                <w:sz w:val="24"/>
              </w:rPr>
              <w:t>标准</w:t>
            </w:r>
          </w:p>
        </w:tc>
        <w:tc>
          <w:tcPr>
            <w:tcW w:w="1930" w:type="dxa"/>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eastAsia="zh-CN"/>
              </w:rPr>
              <w:t>评估</w:t>
            </w:r>
            <w:r>
              <w:rPr>
                <w:rFonts w:hint="eastAsia" w:ascii="仿宋_GB2312" w:hAnsi="仿宋_GB2312" w:eastAsia="仿宋_GB2312" w:cs="仿宋_GB2312"/>
                <w:bCs/>
                <w:kern w:val="0"/>
                <w:sz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073"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一、基本要求（5分）</w:t>
            </w:r>
          </w:p>
        </w:tc>
        <w:tc>
          <w:tcPr>
            <w:tcW w:w="1635"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 机构设置（3分）</w:t>
            </w:r>
          </w:p>
        </w:tc>
        <w:tc>
          <w:tcPr>
            <w:tcW w:w="8180" w:type="dxa"/>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1.1.1具备医疗机构执业许可或在卫生健康行政部门（含中医药主管部门）进行备案，并在民政部门进行养老登记备案</w:t>
            </w:r>
            <w:r>
              <w:rPr>
                <w:rFonts w:hint="eastAsia" w:ascii="仿宋_GB2312" w:hAnsi="仿宋_GB2312" w:eastAsia="仿宋_GB2312" w:cs="仿宋_GB2312"/>
                <w:kern w:val="0"/>
                <w:sz w:val="24"/>
                <w:lang w:eastAsia="zh-CN"/>
              </w:rPr>
              <w:t>，在全国</w:t>
            </w:r>
            <w:r>
              <w:rPr>
                <w:rFonts w:hint="eastAsia" w:ascii="仿宋_GB2312" w:hAnsi="仿宋_GB2312" w:eastAsia="仿宋_GB2312" w:cs="仿宋_GB2312"/>
                <w:kern w:val="0"/>
                <w:sz w:val="24"/>
              </w:rPr>
              <w:t>医养结合监测系统</w:t>
            </w:r>
            <w:r>
              <w:rPr>
                <w:rFonts w:hint="eastAsia" w:ascii="仿宋_GB2312" w:hAnsi="仿宋_GB2312" w:eastAsia="仿宋_GB2312" w:cs="仿宋_GB2312"/>
                <w:kern w:val="0"/>
                <w:sz w:val="24"/>
                <w:lang w:eastAsia="zh-CN"/>
              </w:rPr>
              <w:t>有填报记录</w:t>
            </w:r>
            <w:r>
              <w:rPr>
                <w:rFonts w:hint="eastAsia" w:ascii="仿宋_GB2312" w:hAnsi="仿宋_GB2312" w:eastAsia="仿宋_GB2312" w:cs="仿宋_GB2312"/>
                <w:kern w:val="0"/>
                <w:sz w:val="24"/>
              </w:rPr>
              <w:t>。</w:t>
            </w:r>
          </w:p>
          <w:p>
            <w:r>
              <w:rPr>
                <w:rFonts w:hint="eastAsia" w:ascii="仿宋_GB2312" w:hAnsi="仿宋_GB2312" w:eastAsia="仿宋_GB2312" w:cs="仿宋_GB2312"/>
                <w:kern w:val="0"/>
                <w:sz w:val="24"/>
              </w:rPr>
              <w:t>1.1.2</w:t>
            </w:r>
            <w:r>
              <w:rPr>
                <w:rFonts w:hint="eastAsia" w:ascii="仿宋_GB2312" w:hAnsi="仿宋_GB2312" w:eastAsia="仿宋_GB2312" w:cs="仿宋_GB2312"/>
                <w:sz w:val="24"/>
              </w:rPr>
              <w:t>运营满5年及以上，近2年入住率达到实际运营床位的60%及以上。</w:t>
            </w:r>
          </w:p>
          <w:p>
            <w:pPr>
              <w:pageBreakBefore w:val="0"/>
              <w:tabs>
                <w:tab w:val="left" w:pos="4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4"/>
              </w:rPr>
            </w:pPr>
            <w:r>
              <w:rPr>
                <w:rFonts w:hint="eastAsia" w:ascii="仿宋_GB2312" w:hAnsi="仿宋_GB2312" w:eastAsia="仿宋_GB2312" w:cs="仿宋_GB2312"/>
                <w:b w:val="0"/>
                <w:bCs w:val="0"/>
                <w:sz w:val="24"/>
              </w:rPr>
              <w:t>1.1.3入住失能、失智老年人占比超过50%。</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0"/>
                <w:sz w:val="24"/>
                <w:lang w:eastAsia="zh-CN"/>
              </w:rPr>
              <w:t>相关信息系统查询及现场</w:t>
            </w:r>
            <w:r>
              <w:rPr>
                <w:rFonts w:hint="eastAsia" w:ascii="仿宋_GB2312" w:hAnsi="仿宋_GB2312" w:eastAsia="仿宋_GB2312" w:cs="仿宋_GB2312"/>
                <w:kern w:val="0"/>
                <w:sz w:val="24"/>
              </w:rPr>
              <w:t>查看</w:t>
            </w:r>
            <w:r>
              <w:rPr>
                <w:rFonts w:hint="eastAsia" w:ascii="仿宋_GB2312" w:hAnsi="仿宋_GB2312" w:eastAsia="仿宋_GB2312" w:cs="仿宋_GB2312"/>
                <w:kern w:val="0"/>
                <w:sz w:val="24"/>
                <w:lang w:eastAsia="zh-CN"/>
              </w:rPr>
              <w:t>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1.2餐饮资质 （1分）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1.2.餐饮服务持有食品经营许可证。</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 医保条件（1分）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1.3与医保局</w:t>
            </w:r>
            <w:r>
              <w:rPr>
                <w:rFonts w:hint="eastAsia" w:ascii="仿宋_GB2312" w:hAnsi="仿宋_GB2312" w:eastAsia="仿宋_GB2312" w:cs="仿宋_GB2312"/>
                <w:kern w:val="0"/>
                <w:sz w:val="24"/>
                <w:lang w:val="en-US" w:eastAsia="zh-CN"/>
              </w:rPr>
              <w:t>签订</w:t>
            </w:r>
            <w:r>
              <w:rPr>
                <w:rFonts w:hint="eastAsia" w:ascii="仿宋_GB2312" w:hAnsi="仿宋_GB2312" w:eastAsia="仿宋_GB2312" w:cs="仿宋_GB2312"/>
                <w:kern w:val="0"/>
                <w:sz w:val="24"/>
              </w:rPr>
              <w:t>基本医疗保险定点机构协议。</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查看医保协议和医保系统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73" w:type="dxa"/>
            <w:vMerge w:val="restart"/>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二、环境设施（15分）</w:t>
            </w: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2.1交通与标识</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2.1.1建筑平面内主出入口、通道和房间门口设有无障碍通道，有方便老年人上下车的临时停车区。</w:t>
            </w:r>
          </w:p>
        </w:tc>
        <w:tc>
          <w:tcPr>
            <w:tcW w:w="1930"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现场检查</w:t>
            </w:r>
          </w:p>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2.1.2 出入口采用平坡出入口，平坡出入口的地面坡度不大于1:20; 轮椅通道高度超过300mm且坡度大于1:20时，应在两侧设置扶手。地面采用防滑材料；未采用旋转门。</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2.1.3走廊的通行净宽不小于1.80m；楼梯梯段净宽不小于1.2m。</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2.1.4主要道路岔口处、建筑主出入口处、建筑内各楼层通道分叉显眼处、电梯内外按钮，均应设有颜色醒目、较大字体、简单易懂的标识；台阶、坡道和转弯处有安全警示标志。</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2.1.5小标识牌字体大小至少应不小于30mm，大标识牌字体应不小于60mm。标识安装在适当的高度和位置，使轮椅和行走者都能看到。</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2.2公共环境</w:t>
            </w: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2.2.1院内环境整洁，建筑物宜以暖色调为主；地板、扶手、房门与墙壁宜采用高对比颜色，便于识别。</w:t>
            </w:r>
          </w:p>
        </w:tc>
        <w:tc>
          <w:tcPr>
            <w:tcW w:w="1930"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2.2.2院内各区域连接处平顺、无高度差；窗户应安装行程限位器；电梯和电动门，阻尼时间&gt;4秒。</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2.2.3院内通道宽度适宜，应当满足两个轮椅并行通过；距离超过100m的通道、楼梯，应设有休息区或休息椅，休息区应留有轮椅回转空间。</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2.3居室环境</w:t>
            </w: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（4分）</w:t>
            </w: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2.3.1每居室床使用面积应不小于6.00㎡/；护理型床位的多人间居室，床位数不应大于6床。</w:t>
            </w:r>
          </w:p>
        </w:tc>
        <w:tc>
          <w:tcPr>
            <w:tcW w:w="1930"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2.3.2居室内照明均匀充足，无眩光；光源不直射睡床且有遮光罩。</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2.3.3居室内留有足够的轮椅回转空间，主要通道的净宽应不小于1.05米，床边留有护理、急救操作空间；窗户应安装行程限位器。</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2.3.4室内温、湿度适中，冬天温度保持在20℃--25℃之间，夏天保持在24℃--30℃之间；湿度不宜&gt;70%。</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现场检测温湿度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2.3.5若多人居住床与床之间应有隔帘。设有卧床状态下伸手可及的紧急呼叫器和床灯开关，卧室内安装有夜灯。</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2.4卫浴环境</w:t>
            </w: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（3分）</w:t>
            </w: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.1卫生间设坐便器，两侧或单侧安装水平或垂直把手；门的通行净宽度不应小于800mm，轮椅进出无障碍；应留有1.50m的轮椅回转空间；门向外开启，遇紧急情况时可顺利进入。</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Style w:val="42"/>
              <w:pageBreakBefore w:val="0"/>
              <w:numPr>
                <w:ilvl w:val="0"/>
                <w:numId w:val="0"/>
              </w:numPr>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val="0"/>
                <w:kern w:val="2"/>
                <w:sz w:val="24"/>
              </w:rPr>
            </w:pPr>
            <w:r>
              <w:rPr>
                <w:rFonts w:hint="eastAsia" w:ascii="仿宋_GB2312" w:hAnsi="仿宋_GB2312" w:eastAsia="仿宋_GB2312" w:cs="仿宋_GB2312"/>
                <w:b w:val="0"/>
                <w:bCs w:val="0"/>
                <w:sz w:val="24"/>
                <w:lang w:val="en-US" w:eastAsia="zh-CN"/>
              </w:rPr>
              <w:t>2</w:t>
            </w:r>
            <w:r>
              <w:rPr>
                <w:rFonts w:hint="eastAsia" w:ascii="仿宋_GB2312" w:hAnsi="仿宋_GB2312" w:eastAsia="仿宋_GB2312" w:cs="仿宋_GB2312"/>
                <w:b w:val="0"/>
                <w:bCs w:val="0"/>
                <w:sz w:val="24"/>
              </w:rPr>
              <w:t>.</w:t>
            </w:r>
            <w:r>
              <w:rPr>
                <w:rFonts w:hint="eastAsia" w:ascii="仿宋_GB2312" w:hAnsi="仿宋_GB2312" w:eastAsia="仿宋_GB2312" w:cs="仿宋_GB2312"/>
                <w:b w:val="0"/>
                <w:bCs w:val="0"/>
                <w:sz w:val="24"/>
                <w:lang w:val="en-US" w:eastAsia="zh-CN"/>
              </w:rPr>
              <w:t>4</w:t>
            </w:r>
            <w:r>
              <w:rPr>
                <w:rFonts w:hint="eastAsia" w:ascii="仿宋_GB2312" w:hAnsi="仿宋_GB2312" w:eastAsia="仿宋_GB2312" w:cs="仿宋_GB2312"/>
                <w:b w:val="0"/>
                <w:bCs w:val="0"/>
                <w:sz w:val="24"/>
              </w:rPr>
              <w:t>.2公共区域应设置无障碍卫生间</w:t>
            </w:r>
            <w:r>
              <w:rPr>
                <w:rFonts w:hint="eastAsia" w:ascii="仿宋_GB2312" w:hAnsi="仿宋_GB2312" w:eastAsia="仿宋_GB2312" w:cs="仿宋_GB2312"/>
                <w:b w:val="0"/>
                <w:bCs w:val="0"/>
                <w:kern w:val="2"/>
                <w:sz w:val="24"/>
              </w:rPr>
              <w:t>。</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.3房间内不完全具备洗浴条件的，应设置公共浴室，浴室设施能满足自理、失能和部分失能老年人的多种洗浴需求，配备有洗浴床、浴凳和防滑垫；浴室内安装连续扶手；设置一个无障碍厕位，干湿分开。</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073" w:type="dxa"/>
            <w:vMerge w:val="restart"/>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三、服务团队（10分）</w:t>
            </w: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3.1人员配置</w:t>
            </w: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3.1.1医疗机构符合相应标准；养老机构养老护理员与重度失能老年人配比不低于 1:2；养老护理员与中度失能老年人配比不低于1:4；养老护理员与轻度失能和能力完好老年人配比不低于 1:10。</w:t>
            </w:r>
          </w:p>
        </w:tc>
        <w:tc>
          <w:tcPr>
            <w:tcW w:w="1930"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查看机构老年人花名册和员工花名册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3.1.2每 200 名老年人（不足200 名的按 200 名计算）至少配有 1 名社会工作者；至少配有专、兼康复治疗师、营养师、心理咨询师各1名，医生和护士符合医疗机构人员设置要求。应至少设置一名兼职院感人员。</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 人员资质</w:t>
            </w: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3.2.1医护人员应持有执业资格证书，并符合国家相关规定和行业规范对执业资质和条件的要求。</w:t>
            </w:r>
          </w:p>
        </w:tc>
        <w:tc>
          <w:tcPr>
            <w:tcW w:w="1930"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3.2.2其他各类专业技术和社会工作者应当持有相关部门颁发的特种工种上岗证书或资格证书。</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3.2.3养老护理员应当经相关培训合格后上岗。</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查看护理员资质证书和培训记录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3.2.4餐饮工作人员应当持有A类健康证。</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查验健康证（复印件）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四、运营管理（25分）</w:t>
            </w:r>
          </w:p>
        </w:tc>
        <w:tc>
          <w:tcPr>
            <w:tcW w:w="1635" w:type="dxa"/>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4.1 制度或标准（5分）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4.1有开展医养结合服务的管理制度或标准，包括但不限于：隐私保护制度、住院管理制度、质量管理制度、食品安全管理制度、突发事件应急预案、医院感染防控管理制度、药品耗材管理制度、医疗废物规范处置制度、医疗文书管理制度、安全管理制度、信息管理制度、设施与设备管理制度。</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查看现场制度或标准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4.2 管理及规范（6分）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4.2.1机构愿景或文化中有关心、关爱老年人，保障老年人权益，维护老年人尊严等内容。</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查看</w:t>
            </w:r>
            <w:r>
              <w:rPr>
                <w:rFonts w:hint="eastAsia" w:ascii="仿宋_GB2312" w:hAnsi="仿宋_GB2312" w:eastAsia="仿宋_GB2312" w:cs="仿宋_GB2312"/>
                <w:kern w:val="0"/>
                <w:sz w:val="24"/>
                <w:lang w:eastAsia="zh-CN"/>
              </w:rPr>
              <w:t>会议及工作记录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highlight w:val="yellow"/>
              </w:rPr>
            </w:pPr>
            <w:r>
              <w:rPr>
                <w:rFonts w:hint="eastAsia" w:ascii="仿宋_GB2312" w:hAnsi="仿宋_GB2312" w:eastAsia="仿宋_GB2312" w:cs="仿宋_GB2312"/>
                <w:kern w:val="0"/>
                <w:sz w:val="24"/>
              </w:rPr>
              <w:t>4.2.2员工手册、行为守则等规范中有对老年人态度、行为和用语等要求。</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highlight w:val="yellow"/>
                <w:lang w:eastAsia="zh-CN"/>
              </w:rPr>
            </w:pPr>
            <w:r>
              <w:rPr>
                <w:rFonts w:hint="eastAsia" w:ascii="仿宋_GB2312" w:hAnsi="仿宋_GB2312" w:eastAsia="仿宋_GB2312" w:cs="仿宋_GB2312"/>
                <w:kern w:val="0"/>
                <w:sz w:val="24"/>
                <w:lang w:eastAsia="zh-CN"/>
              </w:rPr>
              <w:t>现场及资料查看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p>
        </w:tc>
        <w:tc>
          <w:tcPr>
            <w:tcW w:w="8180" w:type="dxa"/>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4.2.3机构管理层</w:t>
            </w:r>
            <w:r>
              <w:rPr>
                <w:rFonts w:hint="eastAsia" w:ascii="仿宋_GB2312" w:hAnsi="仿宋_GB2312" w:eastAsia="仿宋_GB2312" w:cs="仿宋_GB2312"/>
                <w:kern w:val="0"/>
                <w:sz w:val="24"/>
                <w:lang w:eastAsia="zh-CN"/>
              </w:rPr>
              <w:t>定期组织召开改善医疗护理工作会议</w:t>
            </w:r>
            <w:r>
              <w:rPr>
                <w:rFonts w:hint="eastAsia" w:ascii="仿宋_GB2312" w:hAnsi="仿宋_GB2312" w:eastAsia="仿宋_GB2312" w:cs="仿宋_GB2312"/>
                <w:kern w:val="0"/>
                <w:sz w:val="24"/>
              </w:rPr>
              <w:t>。</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查看员工手册、行为守则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 医养结合管理要求（6分）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4.3.1配置了医疗、护理、照护等医养结合服务必备的跨专业服务团队并开展服务。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w:t>
            </w:r>
            <w:r>
              <w:rPr>
                <w:rFonts w:hint="eastAsia" w:ascii="仿宋_GB2312" w:hAnsi="仿宋_GB2312" w:eastAsia="仿宋_GB2312" w:cs="仿宋_GB2312"/>
                <w:kern w:val="0"/>
                <w:sz w:val="24"/>
                <w:lang w:eastAsia="zh-CN"/>
              </w:rPr>
              <w:t>资料及</w:t>
            </w:r>
            <w:r>
              <w:rPr>
                <w:rFonts w:hint="eastAsia" w:ascii="仿宋_GB2312" w:hAnsi="仿宋_GB2312" w:eastAsia="仿宋_GB2312" w:cs="仿宋_GB2312"/>
                <w:kern w:val="0"/>
                <w:sz w:val="24"/>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4.3.2建立了医养结合服务的管理模式及工作机制。</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4.3.3开展延伸服务，参与区域医联体，有转院记录和出院计划。</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查看相关服务协议、服务记录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4.4 服务安全与服务质量管理（6分）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4.4.1建立了安全生产委员会，负责安全管理工作，有安全管理检查和培训记录。</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查看安委会管理制度及记录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4.4.2有老年人常见突发事件的预防及应急预案，对跌倒、坠床、噎食、误吸、烫伤、食物中毒等事件，有明确的防范制度与措施以及应急处理流程和报告制度。</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查看相关预案及制度；相关处理记录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4.4.3按照《医疗机构管理条例》、《医疗机构病历管理规定》、《中医病例书写基本规范》、《中医处方格式及书写规范》等要求规范书写、保存、使用病历，病历记录合格率为100%，开具的医嘱、处方合格率不低于95%。</w:t>
            </w:r>
            <w:r>
              <w:rPr>
                <w:rFonts w:hint="eastAsia" w:ascii="仿宋_GB2312" w:hAnsi="仿宋_GB2312" w:eastAsia="仿宋_GB2312" w:cs="仿宋_GB2312"/>
                <w:kern w:val="0"/>
                <w:sz w:val="24"/>
              </w:rPr>
              <w:tab/>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抽查3份病历、医嘱和处方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4.4.4老年人健康管理科学、规范，老年人Ⅱ度及以上压疮在院新发生率低于5%。</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查看压疮管理制度及记录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4.5 信息化管理（2分）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4.5.1按要求登录全国医养结合管理信息系统，以及全国养老服务系统“养老服务机构统计”板块“医养结合”专栏，及信息及数据填报及时、准确。</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查看两个系统中的信息和数据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4.5.2机构内老年人家庭医生签约率不低于90%，辖区社区卫生服务机构为机构入住老年人建立健康档案，提供老年健康管理等国家基本公共卫生服务。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4.5.3能够</w:t>
            </w:r>
            <w:r>
              <w:rPr>
                <w:rFonts w:hint="eastAsia" w:ascii="仿宋_GB2312" w:hAnsi="仿宋_GB2312" w:eastAsia="仿宋_GB2312" w:cs="仿宋_GB2312"/>
                <w:kern w:val="0"/>
                <w:sz w:val="24"/>
                <w:lang w:eastAsia="zh-CN"/>
              </w:rPr>
              <w:t>及时</w:t>
            </w:r>
            <w:r>
              <w:rPr>
                <w:rFonts w:hint="eastAsia" w:ascii="仿宋_GB2312" w:hAnsi="仿宋_GB2312" w:eastAsia="仿宋_GB2312" w:cs="仿宋_GB2312"/>
                <w:kern w:val="0"/>
                <w:sz w:val="24"/>
              </w:rPr>
              <w:t>、准确完成全国医养结合监测系统填报工作。加入国家或北京市医养结合远程协同服务平台，具备远程服务条件，能够为入住老年人提供远程协同服务。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五、服务能力（35分）</w:t>
            </w:r>
          </w:p>
        </w:tc>
        <w:tc>
          <w:tcPr>
            <w:tcW w:w="1635" w:type="dxa"/>
            <w:noWrap w:val="0"/>
            <w:vAlign w:val="center"/>
          </w:tcPr>
          <w:p>
            <w:pPr>
              <w:pageBreakBefore w:val="0"/>
              <w:kinsoku/>
              <w:wordWrap/>
              <w:overflowPunct/>
              <w:topLinePunct w:val="0"/>
              <w:autoSpaceDE/>
              <w:autoSpaceDN/>
              <w:bidi w:val="0"/>
              <w:adjustRightInd/>
              <w:snapToGrid/>
              <w:spacing w:line="400" w:lineRule="exact"/>
              <w:ind w:left="222" w:hanging="240" w:hangingChars="1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5.1 医养结合基本服务</w:t>
            </w:r>
          </w:p>
          <w:p>
            <w:pPr>
              <w:pageBreakBefore w:val="0"/>
              <w:kinsoku/>
              <w:wordWrap/>
              <w:overflowPunct/>
              <w:topLinePunct w:val="0"/>
              <w:autoSpaceDE/>
              <w:autoSpaceDN/>
              <w:bidi w:val="0"/>
              <w:adjustRightInd/>
              <w:snapToGrid/>
              <w:spacing w:line="400" w:lineRule="exact"/>
              <w:ind w:left="222" w:hanging="240" w:hangingChars="1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5.1能够为老年人开展医养结合基础服务，包括生活照料服务、营养膳食服务、清洁卫生服务、洗涤服务、文化娱乐服务。</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查看相关制度、服务记录；现场检查房间卫生、老年人身体卫生等；现场随机抽查1-2位护理员，进行询问与实操。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p/>
          <w:p/>
          <w:p/>
          <w:p>
            <w:pPr>
              <w:pStyle w:val="42"/>
              <w:pageBreakBefore w:val="0"/>
              <w:numPr>
                <w:ilvl w:val="0"/>
                <w:numId w:val="0"/>
              </w:numPr>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 医疗服务（10分）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5.2.1 定期巡诊</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医师至少每周到老年人居住的房间进行巡诊，记录老年人血压、心率等身体状况，并对老年人进行健康指导服务，巡诊结束后做好记录。</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5.2.2 慢病管理</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能提供包括糖尿病、高血压、心血管疾病等老年慢病管理服务。定期进行血糖、血脂、肝肾功能、BMI、握力等监测，以及营养风险、跌倒风险、焦虑、抑郁和轻度认知障碍风险的筛查、评估与干预工作。</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5.2.3能够在机构内部提供老年慢病基础用药，进行药品管理。</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5.2.4常见病、多发病治疗</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老年人入住时，评估老年人病情、过敏史、用药史、不良反应史，提供常见病、多发病的诊疗，开展必要的体检和辅助检查，也可通过远程医疗辅助诊断与治疗。</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5.2.5急诊救护及转诊</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医护人员24小时值班，能及时提供急诊救护服务，现场医护人员可根据老年人病情进行必要的处理措施。</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5.2.6与周边综合医院、中医医院建立签约合作关系，开设转诊绿色通道；长者需要转诊时即使提供有效的转诊服务。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查看签约协议；查看服务记录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5.2.7健康预防管理</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每年提供至少1次老年人体检服务，主动安排预防注射，接种率符合要求，建立健康档案。</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查看相关制度、服务记录、老年人健康档案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5.2.8根据老年人个性化需求提供养生保健、疾病预防、营养、心理支持等健康知识普及服务。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查看健康教育相关资料（含宣传资料、培训记录和照片）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5.3 护理服务</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5.3能够为老年人提供测量生命体征、静脉输液、口服给药、经鼻/口腔吸痰、留置胃管、留置导尿术、压疮护理、急救护理等服务。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查看相关制度、服务记录；现场检查老年人皮肤情况；现场抽查1项急救护理演练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5.4 康复服务</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5.4.1能通过日常生活活动、肌力评定、认知功能评定等评估老年人身体功能，并制定康复治疗方案。</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查看评估记录、康复治疗方案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5.4.2能够为老年人开展物理治疗和作业治疗康复服务。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5.5 中医服务</w:t>
            </w:r>
          </w:p>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5.5.1为老年人提供常见病、多发病、慢性病的中医诊疗服务。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5.5.2开展中医按摩、刮痧、拔罐、艾灸、熏洗等服务，对老年人进行健康干预。</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5.6 心理支持服务（2分）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5.6由专业社工师、心理咨询师或经过心理学相关知识培训的医护人员为老年人提供心理支持服务，包括但不限于环境适应、情绪疏导、危机干预等。</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查看相关制度、服务记录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5.7 安宁疗护服务（2分）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5.7有安宁疗护专区或专室，为老年人提供包括安宁服务所需的舒缓照护、疼痛管理、营养支持、心理支持、死亡慰藉等服务。</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现场检查；查看相关制度、服务记录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5.8失智老年人服务（2分）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5.8有失智老年人照护专区，至少能开展</w:t>
            </w:r>
            <w:r>
              <w:rPr>
                <w:rFonts w:hint="eastAsia" w:ascii="仿宋_GB2312" w:hAnsi="仿宋_GB2312" w:eastAsia="仿宋_GB2312" w:cs="仿宋_GB2312"/>
                <w:kern w:val="0"/>
                <w:sz w:val="24"/>
                <w:szCs w:val="24"/>
              </w:rPr>
              <w:t>认知训练、</w:t>
            </w:r>
            <w:r>
              <w:rPr>
                <w:rFonts w:hint="eastAsia" w:ascii="仿宋_GB2312" w:hAnsi="仿宋_GB2312" w:eastAsia="仿宋_GB2312" w:cs="仿宋_GB2312"/>
                <w:kern w:val="0"/>
                <w:sz w:val="24"/>
              </w:rPr>
              <w:t>音乐疗法</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rPr>
              <w:t>怀旧疗法、艺术疗法</w:t>
            </w:r>
            <w:r>
              <w:rPr>
                <w:rFonts w:hint="eastAsia" w:ascii="仿宋_GB2312" w:hAnsi="仿宋_GB2312" w:eastAsia="仿宋_GB2312" w:cs="仿宋_GB2312"/>
                <w:kern w:val="0"/>
                <w:sz w:val="24"/>
                <w:szCs w:val="24"/>
              </w:rPr>
              <w:t>、社会功能训练</w:t>
            </w:r>
            <w:r>
              <w:rPr>
                <w:rFonts w:hint="eastAsia" w:ascii="仿宋_GB2312" w:hAnsi="仿宋_GB2312" w:eastAsia="仿宋_GB2312" w:cs="仿宋_GB2312"/>
                <w:kern w:val="0"/>
                <w:sz w:val="24"/>
              </w:rPr>
              <w:t>等3项非药物干预。</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现场检查；查看相关制度、服务记录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5.9服务能力提升（5分）</w:t>
            </w:r>
          </w:p>
        </w:tc>
        <w:tc>
          <w:tcPr>
            <w:tcW w:w="8180" w:type="dxa"/>
            <w:noWrap w:val="0"/>
            <w:vAlign w:val="center"/>
          </w:tcPr>
          <w:p>
            <w:pPr>
              <w:pageBreakBefore w:val="0"/>
              <w:kinsoku/>
              <w:wordWrap/>
              <w:overflowPunct/>
              <w:topLinePunct w:val="0"/>
              <w:autoSpaceDE/>
              <w:autoSpaceDN/>
              <w:bidi w:val="0"/>
              <w:adjustRightInd/>
              <w:snapToGrid/>
              <w:spacing w:line="400" w:lineRule="exact"/>
              <w:ind w:firstLine="13"/>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5.9.1 机构内设医务室或医疗机构老年人电子健康档案能与养老机构和其他医疗机构对接，保持连续动态管理。</w:t>
            </w:r>
          </w:p>
        </w:tc>
        <w:tc>
          <w:tcPr>
            <w:tcW w:w="1930" w:type="dxa"/>
            <w:noWrap w:val="0"/>
            <w:vAlign w:val="center"/>
          </w:tcPr>
          <w:p>
            <w:pPr>
              <w:pageBreakBefore w:val="0"/>
              <w:kinsoku/>
              <w:wordWrap/>
              <w:overflowPunct/>
              <w:topLinePunct w:val="0"/>
              <w:autoSpaceDE/>
              <w:autoSpaceDN/>
              <w:bidi w:val="0"/>
              <w:adjustRightInd/>
              <w:snapToGrid/>
              <w:spacing w:line="400" w:lineRule="exact"/>
              <w:ind w:left="240" w:hanging="24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现场查看转诊、转入记录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5.9.2 开展老年综合评估服务项目，包括制定有入院、病情变化和出院进行老年综合评估制度、可行的工作流程与工具、评估结果的记录或档案；设置有老年综合评估室和配置基本评估器具，配备专、兼职评估人员。</w:t>
            </w:r>
          </w:p>
        </w:tc>
        <w:tc>
          <w:tcPr>
            <w:tcW w:w="193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现场查看评估场所并查阅评估登记表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5.9.3开展老年医学多学科、共病和老年综合征、老年常见健康问题评估与干预的技能培训；开展死亡教育和提高生前预嘱的认知度。</w:t>
            </w:r>
          </w:p>
        </w:tc>
        <w:tc>
          <w:tcPr>
            <w:tcW w:w="1930" w:type="dxa"/>
            <w:noWrap w:val="0"/>
            <w:vAlign w:val="center"/>
          </w:tcPr>
          <w:p>
            <w:pPr>
              <w:pStyle w:val="36"/>
              <w:pageBreakBefore w:val="0"/>
              <w:kinsoku/>
              <w:wordWrap/>
              <w:overflowPunct/>
              <w:topLinePunct w:val="0"/>
              <w:autoSpaceDE/>
              <w:autoSpaceDN/>
              <w:bidi w:val="0"/>
              <w:adjustRightInd/>
              <w:snapToGrid/>
              <w:spacing w:line="400" w:lineRule="exact"/>
              <w:ind w:right="-727" w:firstLine="0" w:firstLineChars="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查看培训计划、培训课件</w:t>
            </w:r>
          </w:p>
          <w:p>
            <w:pPr>
              <w:pStyle w:val="36"/>
              <w:pageBreakBefore w:val="0"/>
              <w:kinsoku/>
              <w:wordWrap/>
              <w:overflowPunct/>
              <w:topLinePunct w:val="0"/>
              <w:autoSpaceDE/>
              <w:autoSpaceDN/>
              <w:bidi w:val="0"/>
              <w:adjustRightInd/>
              <w:snapToGrid/>
              <w:spacing w:line="400" w:lineRule="exact"/>
              <w:ind w:right="-727" w:firstLine="0" w:firstLineChars="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及培训档案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六、服务评价与改进（10分）</w:t>
            </w: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6.1 服务评价（5分）</w:t>
            </w:r>
          </w:p>
        </w:tc>
        <w:tc>
          <w:tcPr>
            <w:tcW w:w="8180" w:type="dxa"/>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6.1.1有服务投诉闭环给管理机制，有反馈，有记录。</w:t>
            </w:r>
          </w:p>
        </w:tc>
        <w:tc>
          <w:tcPr>
            <w:tcW w:w="193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ind w:left="240" w:hanging="24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6.1.2定期开展服务满意度调查，老年人和家属满意度达</w:t>
            </w:r>
          </w:p>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到90%以上。</w:t>
            </w:r>
          </w:p>
        </w:tc>
        <w:tc>
          <w:tcPr>
            <w:tcW w:w="1930" w:type="dxa"/>
            <w:vMerge w:val="restart"/>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查看满意度调查表及统计分析结果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6.1.3每年接受2次及以上管理部门和第三方调查，满意度达到80%以上。</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ind w:left="240" w:hanging="24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6.1.4 制定有服务评价与改进制度、服务质量评比奖惩制度和常态化服务监管与评价制度。</w:t>
            </w:r>
          </w:p>
        </w:tc>
        <w:tc>
          <w:tcPr>
            <w:tcW w:w="1930" w:type="dxa"/>
            <w:vMerge w:val="continue"/>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restart"/>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6.2 服务效果（5分）</w:t>
            </w:r>
          </w:p>
        </w:tc>
        <w:tc>
          <w:tcPr>
            <w:tcW w:w="8180" w:type="dxa"/>
            <w:noWrap w:val="0"/>
            <w:vAlign w:val="center"/>
          </w:tcPr>
          <w:p>
            <w:pPr>
              <w:pageBreakBefore w:val="0"/>
              <w:kinsoku/>
              <w:wordWrap/>
              <w:overflowPunct/>
              <w:topLinePunct w:val="0"/>
              <w:autoSpaceDE/>
              <w:autoSpaceDN/>
              <w:bidi w:val="0"/>
              <w:adjustRightInd/>
              <w:snapToGrid/>
              <w:spacing w:line="400" w:lineRule="exact"/>
              <w:ind w:left="-31" w:firstLine="31"/>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rPr>
              <w:t>6.2.1五年内无重大安全事故、医疗纠纷、侵犯老年人权益、虐待老年人的事件发生。</w:t>
            </w:r>
          </w:p>
        </w:tc>
        <w:tc>
          <w:tcPr>
            <w:tcW w:w="1930" w:type="dxa"/>
            <w:noWrap w:val="0"/>
            <w:vAlign w:val="center"/>
          </w:tcPr>
          <w:p>
            <w:pPr>
              <w:pageBreakBefore w:val="0"/>
              <w:kinsoku/>
              <w:wordWrap/>
              <w:overflowPunct/>
              <w:topLinePunct w:val="0"/>
              <w:autoSpaceDE/>
              <w:autoSpaceDN/>
              <w:bidi w:val="0"/>
              <w:adjustRightInd/>
              <w:snapToGrid/>
              <w:spacing w:line="400" w:lineRule="exact"/>
              <w:ind w:left="240" w:hanging="24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第三方平台查询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3" w:type="dxa"/>
            <w:vMerge w:val="continue"/>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1635" w:type="dxa"/>
            <w:vMerge w:val="continue"/>
            <w:noWrap w:val="0"/>
            <w:vAlign w:val="center"/>
          </w:tcPr>
          <w:p>
            <w:pPr>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rPr>
            </w:pPr>
          </w:p>
        </w:tc>
        <w:tc>
          <w:tcPr>
            <w:tcW w:w="8180" w:type="dxa"/>
            <w:noWrap w:val="0"/>
            <w:vAlign w:val="center"/>
          </w:tcPr>
          <w:p>
            <w:pPr>
              <w:pageBreakBefore w:val="0"/>
              <w:kinsoku/>
              <w:wordWrap/>
              <w:overflowPunct/>
              <w:topLinePunct w:val="0"/>
              <w:autoSpaceDE/>
              <w:autoSpaceDN/>
              <w:bidi w:val="0"/>
              <w:adjustRightInd/>
              <w:snapToGrid/>
              <w:spacing w:line="400" w:lineRule="exact"/>
              <w:ind w:left="240" w:hanging="24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6.2.2 获得国家、省市各级管理部门光荣称号和证书。</w:t>
            </w:r>
          </w:p>
        </w:tc>
        <w:tc>
          <w:tcPr>
            <w:tcW w:w="1930" w:type="dxa"/>
            <w:noWrap w:val="0"/>
            <w:vAlign w:val="center"/>
          </w:tcPr>
          <w:p>
            <w:pPr>
              <w:pageBreakBefore w:val="0"/>
              <w:kinsoku/>
              <w:wordWrap/>
              <w:overflowPunct/>
              <w:topLinePunct w:val="0"/>
              <w:autoSpaceDE/>
              <w:autoSpaceDN/>
              <w:bidi w:val="0"/>
              <w:adjustRightInd/>
              <w:snapToGrid/>
              <w:spacing w:line="400" w:lineRule="exact"/>
              <w:ind w:left="240" w:hanging="24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提供证书</w:t>
            </w:r>
          </w:p>
        </w:tc>
      </w:tr>
    </w:tbl>
    <w:p/>
    <w:p>
      <w:pPr>
        <w:rPr>
          <w:rFonts w:hint="eastAsia"/>
          <w:lang w:val="en-US" w:eastAsia="zh-CN"/>
        </w:rPr>
      </w:pPr>
      <w:bookmarkStart w:id="0" w:name="_GoBack"/>
      <w:bookmarkEnd w:id="0"/>
    </w:p>
    <w:sectPr>
      <w:headerReference r:id="rId5" w:type="default"/>
      <w:footerReference r:id="rId6" w:type="default"/>
      <w:pgSz w:w="16838" w:h="11906" w:orient="landscape"/>
      <w:pgMar w:top="1417" w:right="1417" w:bottom="1417" w:left="1417"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00"/>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3"/>
      <w:suff w:val="space"/>
      <w:lvlText w:val="第%1章 "/>
      <w:lvlJc w:val="left"/>
      <w:pPr>
        <w:tabs>
          <w:tab w:val="left" w:pos="420"/>
        </w:tabs>
        <w:ind w:left="425" w:hanging="425"/>
      </w:pPr>
      <w:rPr>
        <w:rFonts w:hint="eastAsia"/>
      </w:rPr>
    </w:lvl>
    <w:lvl w:ilvl="1" w:tentative="0">
      <w:start w:val="1"/>
      <w:numFmt w:val="decimal"/>
      <w:pStyle w:val="4"/>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2E3AD3"/>
    <w:rsid w:val="02C02722"/>
    <w:rsid w:val="03351BD3"/>
    <w:rsid w:val="044A0C68"/>
    <w:rsid w:val="046B19E4"/>
    <w:rsid w:val="04732647"/>
    <w:rsid w:val="04960995"/>
    <w:rsid w:val="05896C23"/>
    <w:rsid w:val="05D05BD6"/>
    <w:rsid w:val="062E7227"/>
    <w:rsid w:val="06336DDC"/>
    <w:rsid w:val="065C332B"/>
    <w:rsid w:val="068C11C4"/>
    <w:rsid w:val="06977505"/>
    <w:rsid w:val="06993E7B"/>
    <w:rsid w:val="06E91AA9"/>
    <w:rsid w:val="072E2612"/>
    <w:rsid w:val="076676A4"/>
    <w:rsid w:val="07980477"/>
    <w:rsid w:val="080F08D8"/>
    <w:rsid w:val="082B32BA"/>
    <w:rsid w:val="08A42CF4"/>
    <w:rsid w:val="08CF2AB1"/>
    <w:rsid w:val="08EB2D4B"/>
    <w:rsid w:val="08EC6A47"/>
    <w:rsid w:val="092B04EE"/>
    <w:rsid w:val="095073FA"/>
    <w:rsid w:val="0968078F"/>
    <w:rsid w:val="097924AD"/>
    <w:rsid w:val="097F6E86"/>
    <w:rsid w:val="099E4BE6"/>
    <w:rsid w:val="09B15E18"/>
    <w:rsid w:val="09DF0839"/>
    <w:rsid w:val="0A0E77C7"/>
    <w:rsid w:val="0A2A20BB"/>
    <w:rsid w:val="0AA84310"/>
    <w:rsid w:val="0AB06CC8"/>
    <w:rsid w:val="0ACE0464"/>
    <w:rsid w:val="0AF3175C"/>
    <w:rsid w:val="0B422678"/>
    <w:rsid w:val="0B457414"/>
    <w:rsid w:val="0B563D4B"/>
    <w:rsid w:val="0BA0192B"/>
    <w:rsid w:val="0C0B299C"/>
    <w:rsid w:val="0C2A514E"/>
    <w:rsid w:val="0CE51A54"/>
    <w:rsid w:val="0D5C56CA"/>
    <w:rsid w:val="0D95172A"/>
    <w:rsid w:val="0D951C50"/>
    <w:rsid w:val="0DAA55C8"/>
    <w:rsid w:val="0E4B7DEA"/>
    <w:rsid w:val="0E88465C"/>
    <w:rsid w:val="0EA97E09"/>
    <w:rsid w:val="0ECB2D70"/>
    <w:rsid w:val="0ED52D7C"/>
    <w:rsid w:val="0ED675FD"/>
    <w:rsid w:val="0EEA3077"/>
    <w:rsid w:val="0EFE331A"/>
    <w:rsid w:val="0F2C7218"/>
    <w:rsid w:val="0F3A2255"/>
    <w:rsid w:val="0F431E9D"/>
    <w:rsid w:val="0F5B67A8"/>
    <w:rsid w:val="0FFB743D"/>
    <w:rsid w:val="10110356"/>
    <w:rsid w:val="10167573"/>
    <w:rsid w:val="102F3F33"/>
    <w:rsid w:val="10DB12EB"/>
    <w:rsid w:val="10FE1C80"/>
    <w:rsid w:val="11252F1A"/>
    <w:rsid w:val="11321245"/>
    <w:rsid w:val="113A003D"/>
    <w:rsid w:val="11576171"/>
    <w:rsid w:val="11A033A3"/>
    <w:rsid w:val="11B048ED"/>
    <w:rsid w:val="11F5236B"/>
    <w:rsid w:val="11F9487A"/>
    <w:rsid w:val="1222765A"/>
    <w:rsid w:val="12837D99"/>
    <w:rsid w:val="12A360E6"/>
    <w:rsid w:val="12BF2E33"/>
    <w:rsid w:val="12BF544B"/>
    <w:rsid w:val="12C556F3"/>
    <w:rsid w:val="12CC4E90"/>
    <w:rsid w:val="13070788"/>
    <w:rsid w:val="1319097B"/>
    <w:rsid w:val="131D09E3"/>
    <w:rsid w:val="133616E2"/>
    <w:rsid w:val="13451652"/>
    <w:rsid w:val="13475AB7"/>
    <w:rsid w:val="139B649A"/>
    <w:rsid w:val="13AC20DD"/>
    <w:rsid w:val="13B02E76"/>
    <w:rsid w:val="13E65B46"/>
    <w:rsid w:val="140C3B0E"/>
    <w:rsid w:val="143F2545"/>
    <w:rsid w:val="14706530"/>
    <w:rsid w:val="1480214E"/>
    <w:rsid w:val="15141074"/>
    <w:rsid w:val="152E5B6B"/>
    <w:rsid w:val="15485925"/>
    <w:rsid w:val="155511C7"/>
    <w:rsid w:val="15833B55"/>
    <w:rsid w:val="15E1296A"/>
    <w:rsid w:val="15E536DF"/>
    <w:rsid w:val="15EB4E6A"/>
    <w:rsid w:val="15EC088E"/>
    <w:rsid w:val="161D7A6F"/>
    <w:rsid w:val="165D4FD4"/>
    <w:rsid w:val="16A74369"/>
    <w:rsid w:val="16D472C8"/>
    <w:rsid w:val="16E92923"/>
    <w:rsid w:val="1705612B"/>
    <w:rsid w:val="17E12034"/>
    <w:rsid w:val="180C0990"/>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4C32C6"/>
    <w:rsid w:val="1A9829AF"/>
    <w:rsid w:val="1A9C7004"/>
    <w:rsid w:val="1A9F3105"/>
    <w:rsid w:val="1A9F6F05"/>
    <w:rsid w:val="1AE531A4"/>
    <w:rsid w:val="1B0B2485"/>
    <w:rsid w:val="1B28788F"/>
    <w:rsid w:val="1B4377B5"/>
    <w:rsid w:val="1B755320"/>
    <w:rsid w:val="1B7B08D1"/>
    <w:rsid w:val="1BA73AA4"/>
    <w:rsid w:val="1BB73749"/>
    <w:rsid w:val="1BD12C96"/>
    <w:rsid w:val="1BEC3A64"/>
    <w:rsid w:val="1C2D7273"/>
    <w:rsid w:val="1C3146DA"/>
    <w:rsid w:val="1CC66615"/>
    <w:rsid w:val="1CCC633E"/>
    <w:rsid w:val="1CDC6D15"/>
    <w:rsid w:val="1D0906BB"/>
    <w:rsid w:val="1D4C33F0"/>
    <w:rsid w:val="1D547FB4"/>
    <w:rsid w:val="1D7E1E72"/>
    <w:rsid w:val="1D9D1ED9"/>
    <w:rsid w:val="1DCB7E60"/>
    <w:rsid w:val="1DD40918"/>
    <w:rsid w:val="1DF84FC9"/>
    <w:rsid w:val="1E805D69"/>
    <w:rsid w:val="1EDC165B"/>
    <w:rsid w:val="1EF54C87"/>
    <w:rsid w:val="1F6F0FE2"/>
    <w:rsid w:val="1F870D20"/>
    <w:rsid w:val="1F876ED8"/>
    <w:rsid w:val="1F993631"/>
    <w:rsid w:val="1FB75AF3"/>
    <w:rsid w:val="1FDC05B2"/>
    <w:rsid w:val="200D117F"/>
    <w:rsid w:val="2043553F"/>
    <w:rsid w:val="20727DD8"/>
    <w:rsid w:val="207E5832"/>
    <w:rsid w:val="20A609F4"/>
    <w:rsid w:val="20D82189"/>
    <w:rsid w:val="20DB22C8"/>
    <w:rsid w:val="20E11B69"/>
    <w:rsid w:val="20EB4A12"/>
    <w:rsid w:val="20FB1FD1"/>
    <w:rsid w:val="21271B30"/>
    <w:rsid w:val="21817DC8"/>
    <w:rsid w:val="21A17A20"/>
    <w:rsid w:val="21BF1549"/>
    <w:rsid w:val="21CC3338"/>
    <w:rsid w:val="220A127E"/>
    <w:rsid w:val="22582B2D"/>
    <w:rsid w:val="22A7377A"/>
    <w:rsid w:val="22C33482"/>
    <w:rsid w:val="234B61D6"/>
    <w:rsid w:val="236D7992"/>
    <w:rsid w:val="237E0413"/>
    <w:rsid w:val="23831E85"/>
    <w:rsid w:val="23F54DA7"/>
    <w:rsid w:val="240045EA"/>
    <w:rsid w:val="24006ABF"/>
    <w:rsid w:val="241B54BC"/>
    <w:rsid w:val="24A574F5"/>
    <w:rsid w:val="24BF6BA5"/>
    <w:rsid w:val="2535425C"/>
    <w:rsid w:val="25B05230"/>
    <w:rsid w:val="25C4174D"/>
    <w:rsid w:val="25F45DD8"/>
    <w:rsid w:val="26167F07"/>
    <w:rsid w:val="26356B63"/>
    <w:rsid w:val="2646191E"/>
    <w:rsid w:val="266E50FA"/>
    <w:rsid w:val="26856269"/>
    <w:rsid w:val="273B55E0"/>
    <w:rsid w:val="27745192"/>
    <w:rsid w:val="277827B9"/>
    <w:rsid w:val="278C7E2E"/>
    <w:rsid w:val="27CF13DE"/>
    <w:rsid w:val="27E40FB6"/>
    <w:rsid w:val="27E64D5A"/>
    <w:rsid w:val="28110AD2"/>
    <w:rsid w:val="28304927"/>
    <w:rsid w:val="283A6BBB"/>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470ADE"/>
    <w:rsid w:val="2E745722"/>
    <w:rsid w:val="2E874FFD"/>
    <w:rsid w:val="2EEE6D81"/>
    <w:rsid w:val="30120C49"/>
    <w:rsid w:val="30284655"/>
    <w:rsid w:val="30BB3E79"/>
    <w:rsid w:val="310C0A45"/>
    <w:rsid w:val="3150741C"/>
    <w:rsid w:val="31723A53"/>
    <w:rsid w:val="3195440B"/>
    <w:rsid w:val="31991FA4"/>
    <w:rsid w:val="31E25AE6"/>
    <w:rsid w:val="31E64DDE"/>
    <w:rsid w:val="323668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2B3573"/>
    <w:rsid w:val="38396F83"/>
    <w:rsid w:val="386B7C02"/>
    <w:rsid w:val="388F4070"/>
    <w:rsid w:val="38B717C0"/>
    <w:rsid w:val="39040907"/>
    <w:rsid w:val="393D6FEF"/>
    <w:rsid w:val="39632FCF"/>
    <w:rsid w:val="399D63DA"/>
    <w:rsid w:val="39C1092A"/>
    <w:rsid w:val="39E74D79"/>
    <w:rsid w:val="3A4D332D"/>
    <w:rsid w:val="3A605239"/>
    <w:rsid w:val="3A687C56"/>
    <w:rsid w:val="3AA02DFD"/>
    <w:rsid w:val="3AD37DB6"/>
    <w:rsid w:val="3B765C41"/>
    <w:rsid w:val="3B9065FA"/>
    <w:rsid w:val="3B9A03DC"/>
    <w:rsid w:val="3BAC7FF0"/>
    <w:rsid w:val="3BD13EC8"/>
    <w:rsid w:val="3BE251FF"/>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5C7E57"/>
    <w:rsid w:val="406F0719"/>
    <w:rsid w:val="40707643"/>
    <w:rsid w:val="40AA7B9C"/>
    <w:rsid w:val="40C73D4E"/>
    <w:rsid w:val="40CE2775"/>
    <w:rsid w:val="40D00933"/>
    <w:rsid w:val="41195D4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2321A8"/>
    <w:rsid w:val="464B7434"/>
    <w:rsid w:val="467C2857"/>
    <w:rsid w:val="46947DF8"/>
    <w:rsid w:val="469D3A52"/>
    <w:rsid w:val="46C949E9"/>
    <w:rsid w:val="46D71FE6"/>
    <w:rsid w:val="47610182"/>
    <w:rsid w:val="478F28A2"/>
    <w:rsid w:val="484A786D"/>
    <w:rsid w:val="48753139"/>
    <w:rsid w:val="48A04700"/>
    <w:rsid w:val="48A60C96"/>
    <w:rsid w:val="48EA3C76"/>
    <w:rsid w:val="48ED6A25"/>
    <w:rsid w:val="493B2AD4"/>
    <w:rsid w:val="496323E0"/>
    <w:rsid w:val="498C0C42"/>
    <w:rsid w:val="49A637DA"/>
    <w:rsid w:val="49B2579F"/>
    <w:rsid w:val="49BF4AC4"/>
    <w:rsid w:val="49CF62BD"/>
    <w:rsid w:val="49EF5432"/>
    <w:rsid w:val="4A161186"/>
    <w:rsid w:val="4A2F2D65"/>
    <w:rsid w:val="4A43731E"/>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18603A"/>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7E6446"/>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2FE6B41"/>
    <w:rsid w:val="532E3DB6"/>
    <w:rsid w:val="533B6D89"/>
    <w:rsid w:val="537B42E2"/>
    <w:rsid w:val="538073C9"/>
    <w:rsid w:val="54006CEC"/>
    <w:rsid w:val="54615A64"/>
    <w:rsid w:val="54A24DF8"/>
    <w:rsid w:val="54C072C3"/>
    <w:rsid w:val="54CB518A"/>
    <w:rsid w:val="55606561"/>
    <w:rsid w:val="55844053"/>
    <w:rsid w:val="55915F1C"/>
    <w:rsid w:val="55B42450"/>
    <w:rsid w:val="565A4F5F"/>
    <w:rsid w:val="567210F2"/>
    <w:rsid w:val="569A6A77"/>
    <w:rsid w:val="56A15432"/>
    <w:rsid w:val="56CB24CE"/>
    <w:rsid w:val="56D50981"/>
    <w:rsid w:val="56DD7248"/>
    <w:rsid w:val="56F24C1A"/>
    <w:rsid w:val="572962D9"/>
    <w:rsid w:val="576D77DD"/>
    <w:rsid w:val="57812E7F"/>
    <w:rsid w:val="57EC75EA"/>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665C11"/>
    <w:rsid w:val="5BA42697"/>
    <w:rsid w:val="5BFC7BA9"/>
    <w:rsid w:val="5C381374"/>
    <w:rsid w:val="5C44524E"/>
    <w:rsid w:val="5C603EEF"/>
    <w:rsid w:val="5C794A68"/>
    <w:rsid w:val="5C8313B3"/>
    <w:rsid w:val="5CC507B6"/>
    <w:rsid w:val="5CDF68D8"/>
    <w:rsid w:val="5D695DA5"/>
    <w:rsid w:val="5D735B94"/>
    <w:rsid w:val="5D743596"/>
    <w:rsid w:val="5D7A04E9"/>
    <w:rsid w:val="5E6A530B"/>
    <w:rsid w:val="5ED6257D"/>
    <w:rsid w:val="5F1713CB"/>
    <w:rsid w:val="5F413A41"/>
    <w:rsid w:val="5FA769D1"/>
    <w:rsid w:val="5FB25805"/>
    <w:rsid w:val="5FE75753"/>
    <w:rsid w:val="605E7786"/>
    <w:rsid w:val="60E17681"/>
    <w:rsid w:val="610927A0"/>
    <w:rsid w:val="616C26E6"/>
    <w:rsid w:val="61B07047"/>
    <w:rsid w:val="61DB49D9"/>
    <w:rsid w:val="621C33F2"/>
    <w:rsid w:val="623A470E"/>
    <w:rsid w:val="62F02D2C"/>
    <w:rsid w:val="63C35AA1"/>
    <w:rsid w:val="643A2D71"/>
    <w:rsid w:val="643E1F1D"/>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9C345D"/>
    <w:rsid w:val="67AD02FF"/>
    <w:rsid w:val="67CD3E93"/>
    <w:rsid w:val="67D500AC"/>
    <w:rsid w:val="67D61280"/>
    <w:rsid w:val="68541290"/>
    <w:rsid w:val="685A66B3"/>
    <w:rsid w:val="68D425D0"/>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625A72"/>
    <w:rsid w:val="6BD00000"/>
    <w:rsid w:val="6BD4765B"/>
    <w:rsid w:val="6BF018DB"/>
    <w:rsid w:val="6BFD7EA6"/>
    <w:rsid w:val="6C0539EF"/>
    <w:rsid w:val="6C467711"/>
    <w:rsid w:val="6C7A24D7"/>
    <w:rsid w:val="6CA65BFC"/>
    <w:rsid w:val="6CEC2D11"/>
    <w:rsid w:val="6CEC3A86"/>
    <w:rsid w:val="6D15056F"/>
    <w:rsid w:val="6D235A8D"/>
    <w:rsid w:val="6D4506BF"/>
    <w:rsid w:val="6D7922D8"/>
    <w:rsid w:val="6D9143ED"/>
    <w:rsid w:val="6DAF2603"/>
    <w:rsid w:val="6DDD563B"/>
    <w:rsid w:val="6E17004D"/>
    <w:rsid w:val="6E1D1819"/>
    <w:rsid w:val="6E2702F2"/>
    <w:rsid w:val="6E845C78"/>
    <w:rsid w:val="6EB80BE3"/>
    <w:rsid w:val="6ED15532"/>
    <w:rsid w:val="6ED46285"/>
    <w:rsid w:val="6EE34597"/>
    <w:rsid w:val="6F04705D"/>
    <w:rsid w:val="6F115FA0"/>
    <w:rsid w:val="6F132C2A"/>
    <w:rsid w:val="6F436938"/>
    <w:rsid w:val="6F5227DA"/>
    <w:rsid w:val="6F7B4C4A"/>
    <w:rsid w:val="6FD232AB"/>
    <w:rsid w:val="6FE54A4F"/>
    <w:rsid w:val="6FF75449"/>
    <w:rsid w:val="70371C02"/>
    <w:rsid w:val="70653A40"/>
    <w:rsid w:val="70CB6EF5"/>
    <w:rsid w:val="712F67E9"/>
    <w:rsid w:val="713E3DFA"/>
    <w:rsid w:val="717151E3"/>
    <w:rsid w:val="71B877D0"/>
    <w:rsid w:val="71BE3A4E"/>
    <w:rsid w:val="71CD2957"/>
    <w:rsid w:val="71E97DA0"/>
    <w:rsid w:val="72352405"/>
    <w:rsid w:val="72372947"/>
    <w:rsid w:val="725D6E18"/>
    <w:rsid w:val="727C5E16"/>
    <w:rsid w:val="727F5B23"/>
    <w:rsid w:val="728A7867"/>
    <w:rsid w:val="72B952B2"/>
    <w:rsid w:val="72CE09E2"/>
    <w:rsid w:val="72DC6E38"/>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58115A"/>
    <w:rsid w:val="769E166F"/>
    <w:rsid w:val="76AE24BD"/>
    <w:rsid w:val="76B0629A"/>
    <w:rsid w:val="76ED6469"/>
    <w:rsid w:val="76F0172E"/>
    <w:rsid w:val="7702704E"/>
    <w:rsid w:val="771D33A0"/>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40725"/>
    <w:rsid w:val="7BE547DC"/>
    <w:rsid w:val="7C0A3AFD"/>
    <w:rsid w:val="7C1B1F4A"/>
    <w:rsid w:val="7C3F21D2"/>
    <w:rsid w:val="7CC7290F"/>
    <w:rsid w:val="7CCD4D16"/>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 w:val="7FC6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4">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5">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afterAutospacing="0"/>
      <w:ind w:left="420" w:leftChars="200" w:firstLine="420" w:firstLineChars="200"/>
      <w:jc w:val="both"/>
    </w:pPr>
    <w:rPr>
      <w:rFonts w:ascii="Times New Roman" w:hAnsi="Times New Roman" w:eastAsia="仿宋_GB2312" w:cs="Times New Roman"/>
      <w:kern w:val="2"/>
      <w:sz w:val="32"/>
      <w:szCs w:val="24"/>
      <w:lang w:val="en-US" w:eastAsia="zh-CN" w:bidi="ar-SA"/>
    </w:rPr>
  </w:style>
  <w:style w:type="paragraph" w:styleId="12">
    <w:name w:val="Body Text"/>
    <w:basedOn w:val="1"/>
    <w:next w:val="13"/>
    <w:qFormat/>
    <w:uiPriority w:val="0"/>
    <w:pPr>
      <w:spacing w:after="140" w:line="276" w:lineRule="auto"/>
    </w:pPr>
  </w:style>
  <w:style w:type="paragraph" w:styleId="13">
    <w:name w:val="Body Text Indent"/>
    <w:basedOn w:val="1"/>
    <w:qFormat/>
    <w:uiPriority w:val="0"/>
    <w:pPr>
      <w:ind w:firstLine="640" w:firstLineChars="200"/>
    </w:pPr>
    <w:rPr>
      <w:sz w:val="32"/>
    </w:rPr>
  </w:style>
  <w:style w:type="paragraph" w:styleId="14">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99"/>
    <w:rPr>
      <w:rFonts w:ascii="宋体" w:hAnsi="Courier New" w:cs="Courier New"/>
      <w:szCs w:val="21"/>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2"/>
    <w:basedOn w:val="1"/>
    <w:next w:val="1"/>
    <w:unhideWhenUsed/>
    <w:qFormat/>
    <w:uiPriority w:val="39"/>
    <w:pPr>
      <w:tabs>
        <w:tab w:val="right" w:leader="dot" w:pos="8982"/>
      </w:tabs>
      <w:ind w:left="420" w:leftChars="200"/>
      <w:jc w:val="center"/>
    </w:pPr>
    <w:rPr>
      <w:sz w:val="22"/>
      <w:szCs w:val="24"/>
    </w:rPr>
  </w:style>
  <w:style w:type="paragraph" w:styleId="22">
    <w:name w:val="Normal (Web)"/>
    <w:basedOn w:val="1"/>
    <w:qFormat/>
    <w:uiPriority w:val="0"/>
    <w:pPr>
      <w:spacing w:beforeAutospacing="1" w:afterAutospacing="1"/>
      <w:jc w:val="left"/>
    </w:pPr>
    <w:rPr>
      <w:kern w:val="0"/>
      <w:sz w:val="24"/>
    </w:rPr>
  </w:style>
  <w:style w:type="paragraph" w:styleId="23">
    <w:name w:val="index 1"/>
    <w:basedOn w:val="1"/>
    <w:next w:val="1"/>
    <w:qFormat/>
    <w:uiPriority w:val="99"/>
  </w:style>
  <w:style w:type="paragraph" w:styleId="24">
    <w:name w:val="Body Text First Indent"/>
    <w:basedOn w:val="12"/>
    <w:unhideWhenUsed/>
    <w:qFormat/>
    <w:uiPriority w:val="99"/>
    <w:pPr>
      <w:widowControl w:val="0"/>
      <w:ind w:firstLine="420" w:firstLineChars="100"/>
      <w:jc w:val="center"/>
    </w:pPr>
    <w:rPr>
      <w:rFonts w:ascii="Times New Roman" w:hAnsi="Times New Roman" w:eastAsia="宋体" w:cs="Times New Roman"/>
      <w:b/>
      <w:kern w:val="2"/>
      <w:sz w:val="32"/>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NormalIndent"/>
    <w:basedOn w:val="1"/>
    <w:qFormat/>
    <w:uiPriority w:val="0"/>
    <w:pPr>
      <w:ind w:firstLine="420" w:firstLineChars="200"/>
    </w:pPr>
  </w:style>
  <w:style w:type="paragraph" w:customStyle="1" w:styleId="32">
    <w:name w:val="_Style 3"/>
    <w:basedOn w:val="1"/>
    <w:qFormat/>
    <w:uiPriority w:val="34"/>
    <w:pPr>
      <w:ind w:firstLine="420" w:firstLineChars="200"/>
    </w:pPr>
  </w:style>
  <w:style w:type="paragraph" w:customStyle="1" w:styleId="33">
    <w:name w:val="列表段落1"/>
    <w:basedOn w:val="1"/>
    <w:qFormat/>
    <w:uiPriority w:val="34"/>
    <w:pPr>
      <w:ind w:firstLine="420" w:firstLineChars="200"/>
    </w:pPr>
  </w:style>
  <w:style w:type="paragraph" w:customStyle="1" w:styleId="34">
    <w:name w:val=" Char"/>
    <w:basedOn w:val="1"/>
    <w:qFormat/>
    <w:uiPriority w:val="0"/>
    <w:rPr>
      <w:rFonts w:ascii="宋体" w:hAnsi="宋体" w:cs="Courier New"/>
      <w:sz w:val="32"/>
      <w:szCs w:val="32"/>
    </w:rPr>
  </w:style>
  <w:style w:type="character" w:customStyle="1" w:styleId="35">
    <w:name w:val="font21"/>
    <w:qFormat/>
    <w:uiPriority w:val="0"/>
    <w:rPr>
      <w:rFonts w:hint="eastAsia" w:ascii="宋体" w:hAnsi="宋体" w:eastAsia="宋体" w:cs="宋体"/>
      <w:color w:val="000000"/>
      <w:sz w:val="20"/>
      <w:szCs w:val="20"/>
      <w:u w:val="none"/>
    </w:rPr>
  </w:style>
  <w:style w:type="paragraph" w:customStyle="1" w:styleId="36">
    <w:name w:val="列出段落1"/>
    <w:basedOn w:val="1"/>
    <w:qFormat/>
    <w:uiPriority w:val="34"/>
    <w:pPr>
      <w:ind w:firstLine="420" w:firstLineChars="200"/>
    </w:pPr>
  </w:style>
  <w:style w:type="paragraph" w:customStyle="1" w:styleId="37">
    <w:name w:val="Other|1"/>
    <w:basedOn w:val="1"/>
    <w:qFormat/>
    <w:uiPriority w:val="0"/>
    <w:pPr>
      <w:ind w:firstLine="500"/>
    </w:pPr>
    <w:rPr>
      <w:rFonts w:ascii="宋体" w:hAnsi="宋体" w:eastAsia="宋体" w:cs="宋体"/>
      <w:color w:val="6B6966"/>
      <w:sz w:val="22"/>
      <w:lang w:val="zh-TW" w:eastAsia="zh-TW" w:bidi="zh-TW"/>
    </w:rPr>
  </w:style>
  <w:style w:type="paragraph" w:customStyle="1" w:styleId="38">
    <w:name w:val="Body text|3"/>
    <w:basedOn w:val="1"/>
    <w:qFormat/>
    <w:uiPriority w:val="0"/>
    <w:pPr>
      <w:widowControl w:val="0"/>
      <w:shd w:val="clear" w:color="auto" w:fill="FFFFFF"/>
      <w:spacing w:after="740" w:line="300" w:lineRule="exact"/>
      <w:jc w:val="distribute"/>
    </w:pPr>
    <w:rPr>
      <w:rFonts w:ascii="PMingLiU" w:hAnsi="PMingLiU" w:eastAsia="PMingLiU" w:cs="PMingLiU"/>
      <w:b/>
      <w:bCs/>
      <w:spacing w:val="20"/>
      <w:sz w:val="30"/>
      <w:szCs w:val="30"/>
    </w:rPr>
  </w:style>
  <w:style w:type="paragraph" w:customStyle="1" w:styleId="39">
    <w:name w:val="列出段落2"/>
    <w:basedOn w:val="1"/>
    <w:unhideWhenUsed/>
    <w:qFormat/>
    <w:uiPriority w:val="99"/>
    <w:pPr>
      <w:ind w:firstLine="420" w:firstLineChars="200"/>
    </w:pPr>
  </w:style>
  <w:style w:type="character" w:customStyle="1" w:styleId="40">
    <w:name w:val="font11"/>
    <w:qFormat/>
    <w:uiPriority w:val="0"/>
    <w:rPr>
      <w:rFonts w:hint="eastAsia" w:ascii="仿宋" w:hAnsi="仿宋" w:eastAsia="仿宋" w:cs="仿宋"/>
      <w:color w:val="FF0000"/>
      <w:sz w:val="24"/>
      <w:szCs w:val="24"/>
      <w:u w:val="none"/>
    </w:rPr>
  </w:style>
  <w:style w:type="character" w:customStyle="1" w:styleId="41">
    <w:name w:val="font01"/>
    <w:qFormat/>
    <w:uiPriority w:val="0"/>
    <w:rPr>
      <w:rFonts w:ascii="Arial" w:hAnsi="Arial" w:cs="Arial"/>
      <w:color w:val="000000"/>
      <w:sz w:val="24"/>
      <w:szCs w:val="24"/>
      <w:u w:val="none"/>
    </w:rPr>
  </w:style>
  <w:style w:type="paragraph" w:customStyle="1" w:styleId="42">
    <w:name w:val="样式 标题 3"/>
    <w:basedOn w:val="5"/>
    <w:qFormat/>
    <w:uiPriority w:val="0"/>
    <w:pPr>
      <w:spacing w:before="0" w:after="0" w:line="240" w:lineRule="auto"/>
    </w:pPr>
    <w:rPr>
      <w:rFonts w:ascii="Times New Roman" w:hAnsi="Times New Roman" w:eastAsia="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2022-10-17T03:20:05Z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BB3FE391DE184FB2AE7B7C1D37276D39</vt:lpwstr>
  </property>
</Properties>
</file>