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rPr>
      </w:pPr>
      <w:r>
        <w:rPr>
          <w:rFonts w:hint="eastAsia" w:ascii="方正小标宋简体" w:eastAsia="方正小标宋简体"/>
          <w:color w:val="auto"/>
          <w:sz w:val="44"/>
        </w:rPr>
        <w:t>2022年度放射卫生检测能力比对工作方案</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根据《国家卫生健康委职业健康司关于印发</w:t>
      </w:r>
      <w:r>
        <w:rPr>
          <w:rFonts w:ascii="仿宋" w:hAnsi="仿宋" w:eastAsia="仿宋"/>
          <w:color w:val="auto"/>
          <w:sz w:val="32"/>
          <w:szCs w:val="32"/>
        </w:rPr>
        <w:t>2022年职业病防治项目工作任务安排的通</w:t>
      </w:r>
      <w:bookmarkStart w:id="2" w:name="_GoBack"/>
      <w:bookmarkEnd w:id="2"/>
      <w:r>
        <w:rPr>
          <w:rFonts w:ascii="仿宋" w:hAnsi="仿宋" w:eastAsia="仿宋"/>
          <w:color w:val="auto"/>
          <w:sz w:val="32"/>
          <w:szCs w:val="32"/>
        </w:rPr>
        <w:t>知</w:t>
      </w:r>
      <w:r>
        <w:rPr>
          <w:rFonts w:hint="eastAsia" w:ascii="仿宋" w:hAnsi="仿宋" w:eastAsia="仿宋"/>
          <w:color w:val="auto"/>
          <w:sz w:val="32"/>
          <w:szCs w:val="32"/>
        </w:rPr>
        <w:t>》的要求，为规范北京市放射卫生检测能力比对工作，制定本方案。</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一</w:t>
      </w:r>
      <w:r>
        <w:rPr>
          <w:rFonts w:ascii="黑体" w:hAnsi="黑体" w:eastAsia="黑体"/>
          <w:color w:val="auto"/>
          <w:sz w:val="32"/>
          <w:szCs w:val="32"/>
        </w:rPr>
        <w:t>、</w:t>
      </w:r>
      <w:r>
        <w:rPr>
          <w:rFonts w:hint="eastAsia" w:ascii="黑体" w:hAnsi="黑体" w:eastAsia="黑体"/>
          <w:color w:val="auto"/>
          <w:sz w:val="32"/>
          <w:szCs w:val="32"/>
        </w:rPr>
        <w:t>组织实施单位及主要工作任务</w:t>
      </w:r>
    </w:p>
    <w:p>
      <w:pPr>
        <w:numPr>
          <w:ilvl w:val="0"/>
          <w:numId w:val="0"/>
        </w:numPr>
        <w:spacing w:line="560" w:lineRule="exact"/>
        <w:ind w:leftChars="0" w:right="315" w:rightChars="150"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（一）组织实施单位</w:t>
      </w:r>
    </w:p>
    <w:p>
      <w:pPr>
        <w:spacing w:line="560" w:lineRule="exact"/>
        <w:ind w:right="315" w:rightChars="150" w:firstLine="640" w:firstLineChars="200"/>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1.</w:t>
      </w:r>
      <w:r>
        <w:rPr>
          <w:rFonts w:hint="eastAsia" w:ascii="Times New Roman" w:hAnsi="Times New Roman" w:eastAsia="仿宋" w:cs="Times New Roman"/>
          <w:color w:val="auto"/>
          <w:sz w:val="32"/>
          <w:szCs w:val="32"/>
        </w:rPr>
        <w:t>中国疾控中心辐射安全所组织省级疾控中心、省级职业病防治院和甲级放射卫生技术服务机构等单位开展国家级放射卫生检测能力比对工作。</w:t>
      </w:r>
    </w:p>
    <w:p>
      <w:pPr>
        <w:pStyle w:val="12"/>
        <w:spacing w:line="560" w:lineRule="exact"/>
        <w:ind w:left="0" w:leftChars="0" w:right="315" w:rightChars="150" w:firstLine="640"/>
        <w:jc w:val="both"/>
        <w:rPr>
          <w:rFonts w:ascii="Times New Roman" w:hAnsi="Times New Roman"/>
          <w:color w:val="auto"/>
          <w:szCs w:val="32"/>
        </w:rPr>
      </w:pPr>
      <w:r>
        <w:rPr>
          <w:rFonts w:ascii="Times New Roman" w:hAnsi="Times New Roman" w:eastAsia="黑体"/>
          <w:color w:val="auto"/>
          <w:szCs w:val="32"/>
        </w:rPr>
        <w:t>2.</w:t>
      </w:r>
      <w:r>
        <w:rPr>
          <w:rFonts w:hint="eastAsia" w:ascii="Times New Roman" w:hAnsi="Times New Roman"/>
          <w:color w:val="auto"/>
          <w:szCs w:val="32"/>
        </w:rPr>
        <w:t>北</w:t>
      </w:r>
      <w:r>
        <w:rPr>
          <w:rFonts w:ascii="Times New Roman" w:hAnsi="Times New Roman"/>
          <w:color w:val="auto"/>
          <w:szCs w:val="32"/>
        </w:rPr>
        <w:t>京市疾病预防控制中心</w:t>
      </w:r>
      <w:r>
        <w:rPr>
          <w:rFonts w:hint="eastAsia" w:ascii="仿宋" w:hAnsi="仿宋"/>
          <w:color w:val="auto"/>
          <w:szCs w:val="32"/>
        </w:rPr>
        <w:t>按照北京市卫生健康行政部门的工作安排，组织本辖区内有关疾控中心、职业病防治院所和辖区内注册的乙级及其他放射卫生技术服务机构等单位开展市级放射卫生检测能力比对工作。</w:t>
      </w:r>
    </w:p>
    <w:p>
      <w:pPr>
        <w:spacing w:line="560" w:lineRule="exact"/>
        <w:ind w:right="315" w:rightChars="150" w:firstLine="640" w:firstLineChars="200"/>
        <w:rPr>
          <w:rFonts w:ascii="仿宋" w:hAnsi="仿宋" w:eastAsia="仿宋"/>
          <w:color w:val="auto"/>
          <w:sz w:val="32"/>
          <w:szCs w:val="32"/>
        </w:rPr>
      </w:pPr>
      <w:r>
        <w:rPr>
          <w:rFonts w:hint="eastAsia" w:ascii="楷体_GB2312" w:hAnsi="楷体_GB2312" w:eastAsia="楷体_GB2312" w:cs="楷体_GB2312"/>
          <w:bCs/>
          <w:color w:val="auto"/>
          <w:sz w:val="32"/>
          <w:szCs w:val="32"/>
        </w:rPr>
        <w:t>（二）主要工作任务</w:t>
      </w:r>
    </w:p>
    <w:p>
      <w:pPr>
        <w:spacing w:line="560" w:lineRule="exact"/>
        <w:ind w:right="315" w:rightChars="150" w:firstLine="640" w:firstLineChars="200"/>
        <w:rPr>
          <w:rFonts w:ascii="仿宋" w:hAnsi="仿宋" w:eastAsia="仿宋"/>
          <w:color w:val="auto"/>
          <w:sz w:val="32"/>
          <w:szCs w:val="32"/>
        </w:rPr>
      </w:pPr>
      <w:r>
        <w:rPr>
          <w:rFonts w:ascii="仿宋" w:hAnsi="仿宋" w:eastAsia="仿宋"/>
          <w:color w:val="auto"/>
          <w:sz w:val="32"/>
          <w:szCs w:val="32"/>
        </w:rPr>
        <w:t>1.中国疾控中心辐射安全所和</w:t>
      </w:r>
      <w:r>
        <w:rPr>
          <w:rFonts w:hint="eastAsia" w:ascii="仿宋" w:hAnsi="仿宋" w:eastAsia="仿宋"/>
          <w:color w:val="auto"/>
          <w:sz w:val="32"/>
          <w:szCs w:val="32"/>
        </w:rPr>
        <w:t>北京市疾病预防控制中心</w:t>
      </w:r>
      <w:r>
        <w:rPr>
          <w:rFonts w:ascii="仿宋" w:hAnsi="仿宋" w:eastAsia="仿宋"/>
          <w:color w:val="auto"/>
          <w:sz w:val="32"/>
          <w:szCs w:val="32"/>
        </w:rPr>
        <w:t>分别制定</w:t>
      </w:r>
      <w:r>
        <w:rPr>
          <w:rFonts w:hint="eastAsia" w:ascii="仿宋" w:hAnsi="仿宋" w:eastAsia="仿宋"/>
          <w:color w:val="auto"/>
          <w:sz w:val="32"/>
          <w:szCs w:val="32"/>
        </w:rPr>
        <w:t>放射</w:t>
      </w:r>
      <w:r>
        <w:rPr>
          <w:rFonts w:ascii="仿宋" w:hAnsi="仿宋" w:eastAsia="仿宋"/>
          <w:color w:val="auto"/>
          <w:sz w:val="32"/>
          <w:szCs w:val="32"/>
        </w:rPr>
        <w:t>卫生检测能力比对</w:t>
      </w:r>
      <w:r>
        <w:rPr>
          <w:rFonts w:hint="eastAsia" w:ascii="仿宋" w:hAnsi="仿宋" w:eastAsia="仿宋"/>
          <w:color w:val="auto"/>
          <w:sz w:val="32"/>
          <w:szCs w:val="32"/>
        </w:rPr>
        <w:t>技术方案（包括作业指导书）</w:t>
      </w:r>
      <w:r>
        <w:rPr>
          <w:rFonts w:ascii="仿宋" w:hAnsi="仿宋" w:eastAsia="仿宋"/>
          <w:color w:val="auto"/>
          <w:sz w:val="32"/>
          <w:szCs w:val="32"/>
        </w:rPr>
        <w:t>、通知各级单位参加比对，发放比对检测样品，收集比对检测结果、对比对结果进行分析评定、组织比对不合格单位进行重测</w:t>
      </w:r>
      <w:r>
        <w:rPr>
          <w:rFonts w:hint="eastAsia" w:ascii="仿宋" w:hAnsi="仿宋" w:eastAsia="仿宋"/>
          <w:color w:val="auto"/>
          <w:sz w:val="32"/>
          <w:szCs w:val="32"/>
        </w:rPr>
        <w:t>。</w:t>
      </w:r>
    </w:p>
    <w:p>
      <w:pPr>
        <w:spacing w:line="560" w:lineRule="exact"/>
        <w:ind w:right="315" w:rightChars="15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撰写北京市放射卫生检测能力比对工作总结，并</w:t>
      </w:r>
      <w:r>
        <w:rPr>
          <w:rFonts w:ascii="仿宋" w:hAnsi="仿宋" w:eastAsia="仿宋"/>
          <w:color w:val="auto"/>
          <w:sz w:val="32"/>
          <w:szCs w:val="32"/>
        </w:rPr>
        <w:t>通过</w:t>
      </w:r>
      <w:r>
        <w:rPr>
          <w:color w:val="auto"/>
        </w:rPr>
        <w:fldChar w:fldCharType="begin"/>
      </w:r>
      <w:r>
        <w:rPr>
          <w:color w:val="auto"/>
        </w:rPr>
        <w:instrText xml:space="preserve"> HYPERLINK "mailto:" </w:instrText>
      </w:r>
      <w:r>
        <w:rPr>
          <w:color w:val="auto"/>
        </w:rPr>
        <w:fldChar w:fldCharType="separate"/>
      </w:r>
      <w:r>
        <w:rPr>
          <w:color w:val="auto"/>
        </w:rPr>
        <w:fldChar w:fldCharType="end"/>
      </w:r>
      <w:r>
        <w:rPr>
          <w:rFonts w:hint="eastAsia" w:ascii="仿宋" w:hAnsi="仿宋" w:eastAsia="仿宋"/>
          <w:color w:val="auto"/>
          <w:sz w:val="32"/>
          <w:szCs w:val="32"/>
        </w:rPr>
        <w:t>网络</w:t>
      </w:r>
      <w:r>
        <w:rPr>
          <w:rFonts w:ascii="仿宋" w:hAnsi="仿宋" w:eastAsia="仿宋"/>
          <w:color w:val="auto"/>
          <w:sz w:val="32"/>
          <w:szCs w:val="32"/>
        </w:rPr>
        <w:t>上报辖区内所有单位能力比对检测结果。</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二、参加比对单位及项目</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（一）比对任务量</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根据《国家卫生健康委职业健康司关于印发</w:t>
      </w:r>
      <w:r>
        <w:rPr>
          <w:rFonts w:ascii="仿宋" w:hAnsi="仿宋" w:eastAsia="仿宋"/>
          <w:color w:val="auto"/>
          <w:sz w:val="32"/>
          <w:szCs w:val="32"/>
        </w:rPr>
        <w:t>2022年职业病防治项目工作任务安排的通知》</w:t>
      </w:r>
      <w:r>
        <w:rPr>
          <w:rFonts w:hint="eastAsia" w:ascii="仿宋" w:hAnsi="仿宋" w:eastAsia="仿宋"/>
          <w:color w:val="auto"/>
          <w:sz w:val="32"/>
          <w:szCs w:val="32"/>
        </w:rPr>
        <w:t>确定</w:t>
      </w:r>
      <w:r>
        <w:rPr>
          <w:rFonts w:ascii="仿宋" w:hAnsi="仿宋" w:eastAsia="仿宋"/>
          <w:color w:val="auto"/>
          <w:sz w:val="32"/>
          <w:szCs w:val="32"/>
        </w:rPr>
        <w:t>任务量</w:t>
      </w:r>
      <w:r>
        <w:rPr>
          <w:rFonts w:hint="eastAsia" w:ascii="仿宋" w:hAnsi="仿宋" w:eastAsia="仿宋"/>
          <w:color w:val="auto"/>
          <w:sz w:val="32"/>
          <w:szCs w:val="32"/>
        </w:rPr>
        <w:t>为7家</w:t>
      </w:r>
      <w:r>
        <w:rPr>
          <w:rFonts w:ascii="仿宋" w:hAnsi="仿宋" w:eastAsia="仿宋"/>
          <w:color w:val="auto"/>
          <w:sz w:val="32"/>
          <w:szCs w:val="32"/>
        </w:rPr>
        <w:t>。</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（二）比对项目</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022</w:t>
      </w:r>
      <w:r>
        <w:rPr>
          <w:rFonts w:hint="eastAsia" w:ascii="仿宋" w:hAnsi="仿宋" w:eastAsia="仿宋"/>
          <w:color w:val="auto"/>
          <w:sz w:val="32"/>
          <w:szCs w:val="32"/>
        </w:rPr>
        <w:t>年度比对项目</w:t>
      </w:r>
      <w:r>
        <w:rPr>
          <w:rFonts w:ascii="仿宋" w:hAnsi="仿宋" w:eastAsia="仿宋"/>
          <w:color w:val="auto"/>
          <w:sz w:val="32"/>
          <w:szCs w:val="32"/>
        </w:rPr>
        <w:t>包括放射工作人员个人剂量监测、</w:t>
      </w:r>
      <w:bookmarkStart w:id="0" w:name="_Hlk104934677"/>
      <w:r>
        <w:rPr>
          <w:rFonts w:ascii="仿宋" w:hAnsi="仿宋" w:eastAsia="仿宋"/>
          <w:color w:val="auto"/>
          <w:sz w:val="32"/>
          <w:szCs w:val="32"/>
        </w:rPr>
        <w:t>总α总β放射性测量</w:t>
      </w:r>
      <w:bookmarkEnd w:id="0"/>
      <w:r>
        <w:rPr>
          <w:rFonts w:ascii="仿宋" w:hAnsi="仿宋" w:eastAsia="仿宋"/>
          <w:color w:val="auto"/>
          <w:sz w:val="32"/>
          <w:szCs w:val="32"/>
        </w:rPr>
        <w:t>等</w:t>
      </w:r>
      <w:r>
        <w:rPr>
          <w:rFonts w:hint="eastAsia" w:ascii="仿宋" w:hAnsi="仿宋" w:eastAsia="仿宋"/>
          <w:color w:val="auto"/>
          <w:sz w:val="32"/>
          <w:szCs w:val="32"/>
        </w:rPr>
        <w:t>2</w:t>
      </w:r>
      <w:r>
        <w:rPr>
          <w:rFonts w:ascii="仿宋" w:hAnsi="仿宋" w:eastAsia="仿宋"/>
          <w:color w:val="auto"/>
          <w:sz w:val="32"/>
          <w:szCs w:val="32"/>
        </w:rPr>
        <w:t>类放射卫生比对项目。</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（三）参加比对机构的确定</w:t>
      </w:r>
    </w:p>
    <w:p>
      <w:pPr>
        <w:spacing w:line="560" w:lineRule="exact"/>
        <w:ind w:right="315" w:rightChars="150"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北京市疾病预防控制中心、北京市化工职业病防治院（北京市职业病防治研究院）、放射卫生技术服务机构及有</w:t>
      </w:r>
      <w:r>
        <w:rPr>
          <w:rFonts w:ascii="仿宋" w:hAnsi="仿宋" w:eastAsia="仿宋"/>
          <w:color w:val="auto"/>
          <w:sz w:val="32"/>
          <w:szCs w:val="32"/>
        </w:rPr>
        <w:t>放射卫生检测</w:t>
      </w:r>
      <w:r>
        <w:rPr>
          <w:rFonts w:hint="eastAsia" w:ascii="仿宋" w:hAnsi="仿宋" w:eastAsia="仿宋"/>
          <w:color w:val="auto"/>
          <w:sz w:val="32"/>
          <w:szCs w:val="32"/>
        </w:rPr>
        <w:t>能力的区疾控中心参加以上</w:t>
      </w:r>
      <w:r>
        <w:rPr>
          <w:rFonts w:ascii="仿宋" w:hAnsi="仿宋" w:eastAsia="仿宋"/>
          <w:color w:val="auto"/>
          <w:sz w:val="32"/>
          <w:szCs w:val="32"/>
        </w:rPr>
        <w:t>2类比对</w:t>
      </w:r>
      <w:r>
        <w:rPr>
          <w:rFonts w:hint="eastAsia" w:ascii="仿宋" w:hAnsi="仿宋" w:eastAsia="仿宋"/>
          <w:color w:val="auto"/>
          <w:sz w:val="32"/>
          <w:szCs w:val="32"/>
        </w:rPr>
        <w:t>。</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w:t>
      </w:r>
      <w:r>
        <w:rPr>
          <w:rFonts w:hint="eastAsia" w:ascii="仿宋" w:hAnsi="仿宋" w:eastAsia="仿宋"/>
          <w:color w:val="auto"/>
          <w:sz w:val="32"/>
          <w:szCs w:val="32"/>
        </w:rPr>
        <w:t>北京市疾病预防控制中心、北京市化工职业病防治院（北京市职业病防治研究院）和甲级放射卫生技术服务机构参加中国疾控中心辐射安全所组织的国家级放射卫生检测能力比对工作。</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3.有</w:t>
      </w:r>
      <w:r>
        <w:rPr>
          <w:rFonts w:ascii="仿宋" w:hAnsi="仿宋" w:eastAsia="仿宋"/>
          <w:color w:val="auto"/>
          <w:sz w:val="32"/>
          <w:szCs w:val="32"/>
        </w:rPr>
        <w:t>放射卫生检测</w:t>
      </w:r>
      <w:r>
        <w:rPr>
          <w:rFonts w:hint="eastAsia" w:ascii="仿宋" w:hAnsi="仿宋" w:eastAsia="仿宋"/>
          <w:color w:val="auto"/>
          <w:sz w:val="32"/>
          <w:szCs w:val="32"/>
        </w:rPr>
        <w:t>能力的区疾控中心、乙级及其他放射卫生</w:t>
      </w:r>
      <w:r>
        <w:rPr>
          <w:rFonts w:ascii="仿宋" w:hAnsi="仿宋" w:eastAsia="仿宋"/>
          <w:color w:val="auto"/>
          <w:sz w:val="32"/>
          <w:szCs w:val="32"/>
        </w:rPr>
        <w:t>技术服务机构</w:t>
      </w:r>
      <w:r>
        <w:rPr>
          <w:rFonts w:hint="eastAsia" w:ascii="仿宋" w:hAnsi="仿宋" w:eastAsia="仿宋"/>
          <w:color w:val="auto"/>
          <w:sz w:val="32"/>
          <w:szCs w:val="32"/>
          <w:lang w:eastAsia="zh-CN"/>
        </w:rPr>
        <w:t>等单位</w:t>
      </w:r>
      <w:r>
        <w:rPr>
          <w:rFonts w:hint="eastAsia" w:ascii="仿宋" w:hAnsi="仿宋" w:eastAsia="仿宋"/>
          <w:color w:val="auto"/>
          <w:sz w:val="32"/>
          <w:szCs w:val="32"/>
        </w:rPr>
        <w:t>应根据</w:t>
      </w:r>
      <w:r>
        <w:rPr>
          <w:rFonts w:ascii="仿宋" w:hAnsi="仿宋" w:eastAsia="仿宋"/>
          <w:color w:val="auto"/>
          <w:sz w:val="32"/>
          <w:szCs w:val="32"/>
        </w:rPr>
        <w:t>其</w:t>
      </w:r>
      <w:r>
        <w:rPr>
          <w:rFonts w:hint="eastAsia" w:ascii="仿宋" w:hAnsi="仿宋" w:eastAsia="仿宋"/>
          <w:color w:val="auto"/>
          <w:sz w:val="32"/>
          <w:szCs w:val="32"/>
        </w:rPr>
        <w:t>技术服务</w:t>
      </w:r>
      <w:r>
        <w:rPr>
          <w:rFonts w:ascii="仿宋" w:hAnsi="仿宋" w:eastAsia="仿宋"/>
          <w:color w:val="auto"/>
          <w:sz w:val="32"/>
          <w:szCs w:val="32"/>
        </w:rPr>
        <w:t>资质范围</w:t>
      </w:r>
      <w:r>
        <w:rPr>
          <w:rFonts w:hint="eastAsia" w:ascii="仿宋" w:hAnsi="仿宋" w:eastAsia="仿宋"/>
          <w:color w:val="auto"/>
          <w:sz w:val="32"/>
          <w:szCs w:val="32"/>
        </w:rPr>
        <w:t>或能力参加市级</w:t>
      </w:r>
      <w:r>
        <w:rPr>
          <w:rFonts w:ascii="仿宋" w:hAnsi="仿宋" w:eastAsia="仿宋"/>
          <w:color w:val="auto"/>
          <w:sz w:val="32"/>
          <w:szCs w:val="32"/>
        </w:rPr>
        <w:t>相应</w:t>
      </w:r>
      <w:r>
        <w:rPr>
          <w:rFonts w:hint="eastAsia" w:ascii="仿宋" w:hAnsi="仿宋" w:eastAsia="仿宋"/>
          <w:color w:val="auto"/>
          <w:sz w:val="32"/>
          <w:szCs w:val="32"/>
        </w:rPr>
        <w:t>项目比对。具有个人剂量监测业务范围的应参加个人剂量监测能力比对，具有核医学工作场所放射防护检测、内照射个人剂量检测、含放射性产品检测业务范围的应参加总α总β放射性测量能力比对。</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三、比对样品制备</w:t>
      </w:r>
    </w:p>
    <w:p>
      <w:pPr>
        <w:spacing w:line="560" w:lineRule="exact"/>
        <w:ind w:right="315" w:rightChars="150" w:firstLine="640" w:firstLineChars="200"/>
        <w:rPr>
          <w:rFonts w:ascii="仿宋" w:hAnsi="仿宋" w:eastAsia="仿宋"/>
          <w:color w:val="auto"/>
          <w:sz w:val="32"/>
          <w:szCs w:val="32"/>
        </w:rPr>
      </w:pPr>
      <w:r>
        <w:rPr>
          <w:rFonts w:hint="eastAsia" w:ascii="Times New Roman" w:hAnsi="Times New Roman" w:eastAsia="仿宋" w:cs="Times New Roman"/>
          <w:color w:val="auto"/>
          <w:sz w:val="32"/>
          <w:szCs w:val="32"/>
        </w:rPr>
        <w:t>北</w:t>
      </w:r>
      <w:r>
        <w:rPr>
          <w:rFonts w:ascii="Times New Roman" w:hAnsi="Times New Roman" w:eastAsia="仿宋" w:cs="Times New Roman"/>
          <w:color w:val="auto"/>
          <w:sz w:val="32"/>
          <w:szCs w:val="32"/>
        </w:rPr>
        <w:t>京市疾病预防控制中心负责</w:t>
      </w:r>
      <w:r>
        <w:rPr>
          <w:rFonts w:hint="eastAsia" w:ascii="Times New Roman" w:hAnsi="Times New Roman" w:eastAsia="仿宋" w:cs="Times New Roman"/>
          <w:color w:val="auto"/>
          <w:sz w:val="32"/>
          <w:szCs w:val="32"/>
        </w:rPr>
        <w:t>市级</w:t>
      </w:r>
      <w:r>
        <w:rPr>
          <w:rFonts w:hint="eastAsia" w:ascii="仿宋" w:hAnsi="仿宋" w:eastAsia="仿宋"/>
          <w:color w:val="auto"/>
          <w:sz w:val="32"/>
          <w:szCs w:val="32"/>
        </w:rPr>
        <w:t>个人剂量</w:t>
      </w:r>
      <w:r>
        <w:rPr>
          <w:rFonts w:ascii="仿宋" w:hAnsi="仿宋" w:eastAsia="仿宋"/>
          <w:color w:val="auto"/>
          <w:sz w:val="32"/>
          <w:szCs w:val="32"/>
        </w:rPr>
        <w:t>监测</w:t>
      </w:r>
      <w:r>
        <w:rPr>
          <w:rFonts w:ascii="Times New Roman" w:hAnsi="Times New Roman" w:eastAsia="仿宋" w:cs="Times New Roman"/>
          <w:color w:val="auto"/>
          <w:sz w:val="32"/>
          <w:szCs w:val="32"/>
        </w:rPr>
        <w:t>比对工作样品制备</w:t>
      </w:r>
      <w:r>
        <w:rPr>
          <w:rFonts w:hint="eastAsia" w:ascii="Times New Roman" w:hAnsi="Times New Roman" w:eastAsia="仿宋" w:cs="Times New Roman"/>
          <w:color w:val="auto"/>
          <w:sz w:val="32"/>
          <w:szCs w:val="32"/>
        </w:rPr>
        <w:t>，总α总β放射性测量</w:t>
      </w:r>
      <w:r>
        <w:rPr>
          <w:rFonts w:ascii="Times New Roman" w:hAnsi="Times New Roman" w:eastAsia="仿宋" w:cs="Times New Roman"/>
          <w:color w:val="auto"/>
          <w:sz w:val="32"/>
          <w:szCs w:val="32"/>
        </w:rPr>
        <w:t>比对</w:t>
      </w:r>
      <w:r>
        <w:rPr>
          <w:rFonts w:hint="eastAsia" w:ascii="Times New Roman" w:hAnsi="Times New Roman" w:eastAsia="仿宋" w:cs="Times New Roman"/>
          <w:color w:val="auto"/>
          <w:sz w:val="32"/>
          <w:szCs w:val="32"/>
        </w:rPr>
        <w:t>样品</w:t>
      </w:r>
      <w:r>
        <w:rPr>
          <w:rFonts w:ascii="Times New Roman" w:hAnsi="Times New Roman" w:eastAsia="仿宋" w:cs="Times New Roman"/>
          <w:color w:val="auto"/>
          <w:sz w:val="32"/>
          <w:szCs w:val="32"/>
        </w:rPr>
        <w:t>委托中国疾控中心辐射安全所制备</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比对样品制备单位对样品负责，且需将所有制备样品技术记录进行</w:t>
      </w:r>
      <w:r>
        <w:rPr>
          <w:rFonts w:hint="eastAsia" w:ascii="Times New Roman" w:hAnsi="Times New Roman" w:eastAsia="仿宋" w:cs="Times New Roman"/>
          <w:color w:val="auto"/>
          <w:sz w:val="32"/>
          <w:szCs w:val="32"/>
        </w:rPr>
        <w:t>妥善</w:t>
      </w:r>
      <w:r>
        <w:rPr>
          <w:rFonts w:ascii="Times New Roman" w:hAnsi="Times New Roman" w:eastAsia="仿宋" w:cs="Times New Roman"/>
          <w:color w:val="auto"/>
          <w:sz w:val="32"/>
          <w:szCs w:val="32"/>
        </w:rPr>
        <w:t>保存</w:t>
      </w:r>
      <w:r>
        <w:rPr>
          <w:rFonts w:hint="eastAsia" w:ascii="Times New Roman" w:hAnsi="Times New Roman" w:eastAsia="仿宋" w:cs="Times New Roman"/>
          <w:color w:val="auto"/>
          <w:sz w:val="32"/>
          <w:szCs w:val="32"/>
        </w:rPr>
        <w:t>，并</w:t>
      </w:r>
      <w:r>
        <w:rPr>
          <w:rFonts w:ascii="Times New Roman" w:hAnsi="Times New Roman" w:eastAsia="仿宋" w:cs="Times New Roman"/>
          <w:color w:val="auto"/>
          <w:sz w:val="32"/>
          <w:szCs w:val="32"/>
        </w:rPr>
        <w:t>编写</w:t>
      </w:r>
      <w:r>
        <w:rPr>
          <w:rFonts w:hint="eastAsia" w:ascii="Times New Roman" w:hAnsi="Times New Roman" w:eastAsia="仿宋" w:cs="Times New Roman"/>
          <w:color w:val="auto"/>
          <w:sz w:val="32"/>
          <w:szCs w:val="32"/>
        </w:rPr>
        <w:t>放射</w:t>
      </w:r>
      <w:r>
        <w:rPr>
          <w:rFonts w:ascii="Times New Roman" w:hAnsi="Times New Roman" w:eastAsia="仿宋" w:cs="Times New Roman"/>
          <w:color w:val="auto"/>
          <w:sz w:val="32"/>
          <w:szCs w:val="32"/>
        </w:rPr>
        <w:t>卫生检测能力比对样品制备报告。</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四、确定比对样品评定参考值</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（一）个人剂量监测</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依据《外照射个人剂量系统性能检验规范》（</w:t>
      </w:r>
      <w:r>
        <w:rPr>
          <w:rFonts w:ascii="仿宋" w:hAnsi="仿宋" w:eastAsia="仿宋"/>
          <w:color w:val="auto"/>
          <w:sz w:val="32"/>
          <w:szCs w:val="32"/>
        </w:rPr>
        <w:t>GBZ 207-2016</w:t>
      </w:r>
      <w:r>
        <w:rPr>
          <w:rFonts w:hint="eastAsia" w:ascii="仿宋" w:hAnsi="仿宋" w:eastAsia="仿宋"/>
          <w:color w:val="auto"/>
          <w:sz w:val="32"/>
          <w:szCs w:val="32"/>
        </w:rPr>
        <w:t>）第</w:t>
      </w:r>
      <w:r>
        <w:rPr>
          <w:rFonts w:ascii="仿宋" w:hAnsi="仿宋" w:eastAsia="仿宋"/>
          <w:color w:val="auto"/>
          <w:sz w:val="32"/>
          <w:szCs w:val="32"/>
        </w:rPr>
        <w:t>5</w:t>
      </w:r>
      <w:r>
        <w:rPr>
          <w:rFonts w:hint="eastAsia" w:ascii="仿宋" w:hAnsi="仿宋" w:eastAsia="仿宋"/>
          <w:color w:val="auto"/>
          <w:sz w:val="32"/>
          <w:szCs w:val="32"/>
        </w:rPr>
        <w:t>章相关要求设定参考值进行照射，不告知射线类型、能量和照射角度。剂量计在体模上照射，采用</w:t>
      </w:r>
      <w:r>
        <w:rPr>
          <w:rFonts w:ascii="仿宋" w:hAnsi="仿宋" w:eastAsia="仿宋"/>
          <w:color w:val="auto"/>
          <w:sz w:val="32"/>
          <w:szCs w:val="32"/>
        </w:rPr>
        <w:t>30 cm×30 cm×15 cm的ISO充水组织等效板模。</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（二）总α总β放射性测量</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参照</w:t>
      </w:r>
      <w:r>
        <w:rPr>
          <w:rFonts w:ascii="仿宋" w:hAnsi="仿宋" w:eastAsia="仿宋"/>
          <w:color w:val="auto"/>
          <w:sz w:val="32"/>
          <w:szCs w:val="32"/>
        </w:rPr>
        <w:t>IAEA</w:t>
      </w:r>
      <w:r>
        <w:rPr>
          <w:rFonts w:hint="eastAsia" w:ascii="仿宋" w:hAnsi="仿宋" w:eastAsia="仿宋"/>
          <w:color w:val="auto"/>
          <w:sz w:val="32"/>
          <w:szCs w:val="32"/>
        </w:rPr>
        <w:t>比对分析和《</w:t>
      </w:r>
      <w:r>
        <w:rPr>
          <w:rFonts w:ascii="仿宋" w:hAnsi="仿宋" w:eastAsia="仿宋"/>
          <w:color w:val="auto"/>
          <w:sz w:val="32"/>
          <w:szCs w:val="32"/>
        </w:rPr>
        <w:t>合格评定 能力验证的通用要求</w:t>
      </w:r>
      <w:r>
        <w:rPr>
          <w:rFonts w:hint="eastAsia" w:ascii="仿宋" w:hAnsi="仿宋" w:eastAsia="仿宋"/>
          <w:color w:val="auto"/>
          <w:sz w:val="32"/>
          <w:szCs w:val="32"/>
        </w:rPr>
        <w:t>》（</w:t>
      </w:r>
      <w:r>
        <w:rPr>
          <w:rFonts w:ascii="仿宋" w:hAnsi="仿宋" w:eastAsia="仿宋"/>
          <w:color w:val="auto"/>
          <w:sz w:val="32"/>
          <w:szCs w:val="32"/>
        </w:rPr>
        <w:t>GB/T 27043-2012</w:t>
      </w:r>
      <w:r>
        <w:rPr>
          <w:rFonts w:hint="eastAsia" w:ascii="仿宋" w:hAnsi="仿宋" w:eastAsia="仿宋"/>
          <w:color w:val="auto"/>
          <w:sz w:val="32"/>
          <w:szCs w:val="32"/>
        </w:rPr>
        <w:t>），比对参考值选用专家实验室确定的公议值。</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五、发放比对样品</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（一）个人剂量监测</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w:t>
      </w:r>
      <w:r>
        <w:rPr>
          <w:rFonts w:hint="eastAsia" w:ascii="仿宋" w:hAnsi="仿宋" w:eastAsia="仿宋"/>
          <w:color w:val="auto"/>
          <w:sz w:val="32"/>
          <w:szCs w:val="32"/>
        </w:rPr>
        <w:t>作业指导书的发放及样品的收集。北京市疾病预防控制中心通过邮件给参加比对机构发放作业指导书，参加比对机构按作业指导书准备个人剂量计邮寄给组织实施单位。</w:t>
      </w:r>
    </w:p>
    <w:p>
      <w:pPr>
        <w:spacing w:line="560" w:lineRule="exact"/>
        <w:ind w:right="315" w:rightChars="15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样品照射与发放。北京市疾病预防控制中心收到剂量计后，设定参考值并安排照射。照射完成后，为参加比对机构分配比对代码，并将照射后的剂量计寄回参加比对机构。</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w:t>
      </w:r>
      <w:bookmarkStart w:id="1" w:name="_Hlk104973001"/>
      <w:r>
        <w:rPr>
          <w:rFonts w:hint="eastAsia" w:ascii="楷体_GB2312" w:hAnsi="楷体_GB2312" w:eastAsia="楷体_GB2312" w:cs="楷体_GB2312"/>
          <w:bCs/>
          <w:color w:val="auto"/>
          <w:sz w:val="32"/>
          <w:szCs w:val="32"/>
        </w:rPr>
        <w:t>总α总β</w:t>
      </w:r>
      <w:bookmarkEnd w:id="1"/>
      <w:r>
        <w:rPr>
          <w:rFonts w:hint="eastAsia" w:ascii="楷体_GB2312" w:hAnsi="楷体_GB2312" w:eastAsia="楷体_GB2312" w:cs="楷体_GB2312"/>
          <w:bCs/>
          <w:color w:val="auto"/>
          <w:sz w:val="32"/>
          <w:szCs w:val="32"/>
        </w:rPr>
        <w:t>放射性测量</w:t>
      </w:r>
    </w:p>
    <w:p>
      <w:pPr>
        <w:pStyle w:val="12"/>
        <w:spacing w:line="560" w:lineRule="exact"/>
        <w:ind w:left="0" w:leftChars="0" w:right="315" w:rightChars="150" w:firstLine="640" w:firstLineChars="0"/>
        <w:jc w:val="both"/>
        <w:rPr>
          <w:rFonts w:ascii="Times New Roman" w:hAnsi="Times New Roman"/>
          <w:color w:val="auto"/>
          <w:szCs w:val="32"/>
        </w:rPr>
      </w:pPr>
      <w:r>
        <w:rPr>
          <w:rFonts w:hint="eastAsia" w:ascii="Times New Roman" w:hAnsi="Times New Roman"/>
          <w:color w:val="auto"/>
          <w:szCs w:val="32"/>
        </w:rPr>
        <w:t>1</w:t>
      </w:r>
      <w:r>
        <w:rPr>
          <w:rFonts w:ascii="Times New Roman" w:hAnsi="Times New Roman"/>
          <w:color w:val="auto"/>
          <w:szCs w:val="32"/>
        </w:rPr>
        <w:t>.</w:t>
      </w:r>
      <w:r>
        <w:rPr>
          <w:rFonts w:hint="eastAsia" w:ascii="Times New Roman" w:hAnsi="Times New Roman"/>
          <w:color w:val="auto"/>
          <w:szCs w:val="32"/>
        </w:rPr>
        <w:t>作业指导书的发放。</w:t>
      </w:r>
      <w:r>
        <w:rPr>
          <w:rFonts w:hint="eastAsia" w:ascii="仿宋" w:hAnsi="仿宋"/>
          <w:color w:val="auto"/>
          <w:szCs w:val="32"/>
        </w:rPr>
        <w:t>北京市疾病预防控制中心</w:t>
      </w:r>
      <w:r>
        <w:rPr>
          <w:rFonts w:hint="eastAsia" w:ascii="Times New Roman" w:hAnsi="Times New Roman"/>
          <w:color w:val="auto"/>
          <w:szCs w:val="32"/>
        </w:rPr>
        <w:t>通过邮件发放比对工作的作业指导书。</w:t>
      </w:r>
    </w:p>
    <w:p>
      <w:pPr>
        <w:pStyle w:val="12"/>
        <w:spacing w:line="560" w:lineRule="exact"/>
        <w:ind w:left="0" w:leftChars="0" w:right="315" w:rightChars="150" w:firstLine="640"/>
        <w:jc w:val="both"/>
        <w:rPr>
          <w:rFonts w:ascii="Times New Roman" w:hAnsi="Times New Roman"/>
          <w:color w:val="auto"/>
          <w:szCs w:val="32"/>
        </w:rPr>
      </w:pPr>
      <w:r>
        <w:rPr>
          <w:rFonts w:hint="eastAsia" w:ascii="Times New Roman" w:hAnsi="Times New Roman"/>
          <w:color w:val="auto"/>
          <w:szCs w:val="32"/>
        </w:rPr>
        <w:t>2</w:t>
      </w:r>
      <w:r>
        <w:rPr>
          <w:rFonts w:ascii="Times New Roman" w:hAnsi="Times New Roman"/>
          <w:color w:val="auto"/>
          <w:szCs w:val="32"/>
        </w:rPr>
        <w:t>.</w:t>
      </w:r>
      <w:r>
        <w:rPr>
          <w:rFonts w:hint="eastAsia" w:ascii="Times New Roman" w:hAnsi="Times New Roman"/>
          <w:color w:val="auto"/>
          <w:szCs w:val="32"/>
        </w:rPr>
        <w:t>样品的发放。</w:t>
      </w:r>
      <w:r>
        <w:rPr>
          <w:rFonts w:hint="eastAsia" w:ascii="仿宋" w:hAnsi="仿宋"/>
          <w:color w:val="auto"/>
          <w:szCs w:val="32"/>
        </w:rPr>
        <w:t>北京市疾病预防控制中心</w:t>
      </w:r>
      <w:r>
        <w:rPr>
          <w:rFonts w:hint="eastAsia" w:ascii="Times New Roman" w:hAnsi="Times New Roman"/>
          <w:color w:val="auto"/>
          <w:szCs w:val="32"/>
        </w:rPr>
        <w:t>将参加比对的机构进行编号，比对样品应具有唯一性编号；记录参加比对机构的编号与样品编号，并经复核确认。</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六、样品的接收和检测</w:t>
      </w:r>
    </w:p>
    <w:p>
      <w:pPr>
        <w:spacing w:line="560" w:lineRule="exact"/>
        <w:ind w:right="315" w:rightChars="150"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各参加比对</w:t>
      </w:r>
      <w:r>
        <w:rPr>
          <w:rFonts w:ascii="Times New Roman" w:hAnsi="Times New Roman" w:eastAsia="仿宋" w:cs="Times New Roman"/>
          <w:color w:val="auto"/>
          <w:sz w:val="32"/>
          <w:szCs w:val="32"/>
        </w:rPr>
        <w:t>机构</w:t>
      </w:r>
      <w:r>
        <w:rPr>
          <w:rFonts w:hint="eastAsia" w:ascii="Times New Roman" w:hAnsi="Times New Roman" w:eastAsia="仿宋" w:cs="Times New Roman"/>
          <w:color w:val="auto"/>
          <w:sz w:val="32"/>
          <w:szCs w:val="32"/>
        </w:rPr>
        <w:t>收到</w:t>
      </w:r>
      <w:r>
        <w:rPr>
          <w:rFonts w:ascii="Times New Roman" w:hAnsi="Times New Roman" w:eastAsia="仿宋" w:cs="Times New Roman"/>
          <w:color w:val="auto"/>
          <w:sz w:val="32"/>
          <w:szCs w:val="32"/>
        </w:rPr>
        <w:t>比对样品后</w:t>
      </w:r>
      <w:r>
        <w:rPr>
          <w:rFonts w:hint="eastAsia" w:ascii="Times New Roman" w:hAnsi="Times New Roman" w:eastAsia="仿宋" w:cs="Times New Roman"/>
          <w:color w:val="auto"/>
          <w:sz w:val="32"/>
          <w:szCs w:val="32"/>
        </w:rPr>
        <w:t>应及时对样品状况进行确认</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填写</w:t>
      </w:r>
      <w:r>
        <w:rPr>
          <w:rFonts w:ascii="Times New Roman" w:hAnsi="Times New Roman" w:eastAsia="仿宋" w:cs="Times New Roman"/>
          <w:color w:val="auto"/>
          <w:sz w:val="32"/>
          <w:szCs w:val="32"/>
        </w:rPr>
        <w:t>作业指导书中的</w:t>
      </w:r>
      <w:r>
        <w:rPr>
          <w:rFonts w:hint="eastAsia" w:ascii="Times New Roman" w:hAnsi="Times New Roman" w:eastAsia="仿宋" w:cs="Times New Roman"/>
          <w:color w:val="auto"/>
          <w:sz w:val="32"/>
          <w:szCs w:val="32"/>
        </w:rPr>
        <w:t>“收到比对样品的回执”并在规定时间内分别</w:t>
      </w:r>
      <w:r>
        <w:rPr>
          <w:rFonts w:ascii="Times New Roman" w:hAnsi="Times New Roman" w:eastAsia="仿宋" w:cs="Times New Roman"/>
          <w:color w:val="auto"/>
          <w:sz w:val="32"/>
          <w:szCs w:val="32"/>
        </w:rPr>
        <w:t>按照各项目</w:t>
      </w:r>
      <w:r>
        <w:rPr>
          <w:rFonts w:hint="eastAsia" w:ascii="Times New Roman" w:hAnsi="Times New Roman" w:eastAsia="仿宋" w:cs="Times New Roman"/>
          <w:color w:val="auto"/>
          <w:sz w:val="32"/>
          <w:szCs w:val="32"/>
        </w:rPr>
        <w:t>的</w:t>
      </w:r>
      <w:r>
        <w:rPr>
          <w:rFonts w:ascii="Times New Roman" w:hAnsi="Times New Roman" w:eastAsia="仿宋" w:cs="Times New Roman"/>
          <w:color w:val="auto"/>
          <w:sz w:val="32"/>
          <w:szCs w:val="32"/>
        </w:rPr>
        <w:t>作业指导书开展检测工作</w:t>
      </w:r>
      <w:r>
        <w:rPr>
          <w:rFonts w:hint="eastAsia" w:ascii="Times New Roman" w:hAnsi="Times New Roman" w:eastAsia="仿宋" w:cs="Times New Roman"/>
          <w:color w:val="auto"/>
          <w:sz w:val="32"/>
          <w:szCs w:val="32"/>
        </w:rPr>
        <w:t>。</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七、结果报送与</w:t>
      </w:r>
      <w:r>
        <w:rPr>
          <w:rFonts w:ascii="黑体" w:hAnsi="黑体" w:eastAsia="黑体"/>
          <w:color w:val="auto"/>
          <w:sz w:val="32"/>
          <w:szCs w:val="32"/>
        </w:rPr>
        <w:t>评定</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（一）结果的报送</w:t>
      </w:r>
    </w:p>
    <w:p>
      <w:pPr>
        <w:spacing w:line="560" w:lineRule="exact"/>
        <w:ind w:right="315" w:rightChars="150"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参加比对</w:t>
      </w:r>
      <w:r>
        <w:rPr>
          <w:rFonts w:ascii="Times New Roman" w:hAnsi="Times New Roman" w:eastAsia="仿宋" w:cs="Times New Roman"/>
          <w:color w:val="auto"/>
          <w:sz w:val="32"/>
          <w:szCs w:val="32"/>
        </w:rPr>
        <w:t>机构</w:t>
      </w:r>
      <w:r>
        <w:rPr>
          <w:rFonts w:hint="eastAsia" w:ascii="Times New Roman" w:hAnsi="Times New Roman" w:eastAsia="仿宋" w:cs="Times New Roman"/>
          <w:color w:val="auto"/>
          <w:sz w:val="32"/>
          <w:szCs w:val="32"/>
        </w:rPr>
        <w:t>在收到样品后，应及时完成检测（个人剂量监测在</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个工作日内，总α总β放射性测量在1</w:t>
      </w:r>
      <w:r>
        <w:rPr>
          <w:rFonts w:ascii="Times New Roman" w:hAnsi="Times New Roman" w:eastAsia="仿宋" w:cs="Times New Roman"/>
          <w:color w:val="auto"/>
          <w:sz w:val="32"/>
          <w:szCs w:val="32"/>
        </w:rPr>
        <w:t>0</w:t>
      </w:r>
      <w:r>
        <w:rPr>
          <w:rFonts w:hint="eastAsia" w:ascii="Times New Roman" w:hAnsi="Times New Roman" w:eastAsia="仿宋" w:cs="Times New Roman"/>
          <w:color w:val="auto"/>
          <w:sz w:val="32"/>
          <w:szCs w:val="32"/>
        </w:rPr>
        <w:t>个工作日内），并按照</w:t>
      </w:r>
      <w:r>
        <w:rPr>
          <w:rFonts w:hint="eastAsia" w:ascii="Times New Roman" w:hAnsi="Times New Roman" w:eastAsia="仿宋" w:cs="Times New Roman"/>
          <w:color w:val="auto"/>
          <w:sz w:val="32"/>
          <w:szCs w:val="32"/>
          <w:highlight w:val="none"/>
        </w:rPr>
        <w:t>北京市疾病预防控制中心</w:t>
      </w:r>
      <w:r>
        <w:rPr>
          <w:rFonts w:ascii="Times New Roman" w:hAnsi="Times New Roman" w:eastAsia="仿宋" w:cs="Times New Roman"/>
          <w:color w:val="auto"/>
          <w:sz w:val="32"/>
          <w:szCs w:val="32"/>
        </w:rPr>
        <w:t>的进度安排</w:t>
      </w:r>
      <w:r>
        <w:rPr>
          <w:rFonts w:hint="eastAsia" w:ascii="Times New Roman" w:hAnsi="Times New Roman" w:eastAsia="仿宋" w:cs="Times New Roman"/>
          <w:color w:val="auto"/>
          <w:sz w:val="32"/>
          <w:szCs w:val="32"/>
        </w:rPr>
        <w:t>按时</w:t>
      </w:r>
      <w:r>
        <w:rPr>
          <w:rFonts w:ascii="Times New Roman" w:hAnsi="Times New Roman" w:eastAsia="仿宋" w:cs="Times New Roman"/>
          <w:color w:val="auto"/>
          <w:sz w:val="32"/>
          <w:szCs w:val="32"/>
        </w:rPr>
        <w:t>提交比对</w:t>
      </w:r>
      <w:r>
        <w:rPr>
          <w:rFonts w:hint="eastAsia" w:ascii="Times New Roman" w:hAnsi="Times New Roman" w:eastAsia="仿宋" w:cs="Times New Roman"/>
          <w:color w:val="auto"/>
          <w:sz w:val="32"/>
          <w:szCs w:val="32"/>
        </w:rPr>
        <w:t>报告（包含比对结果报表、检测报告（原件）、数据处理记录、不确定度评定（限个人剂量比对）、原始记录复印件、仪器检定或校准证书复印件等作业指导书中要求的材料）。</w:t>
      </w:r>
    </w:p>
    <w:p>
      <w:pPr>
        <w:pStyle w:val="2"/>
        <w:numPr>
          <w:ilvl w:val="0"/>
          <w:numId w:val="0"/>
        </w:numPr>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（二）结果评定</w:t>
      </w:r>
    </w:p>
    <w:p>
      <w:pPr>
        <w:spacing w:line="560" w:lineRule="exact"/>
        <w:ind w:right="315" w:rightChars="150"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highlight w:val="none"/>
        </w:rPr>
        <w:t>北京市疾病预防控制中心</w:t>
      </w:r>
      <w:r>
        <w:rPr>
          <w:rFonts w:hint="eastAsia" w:ascii="Times New Roman" w:hAnsi="Times New Roman" w:eastAsia="仿宋" w:cs="Times New Roman"/>
          <w:color w:val="auto"/>
          <w:sz w:val="32"/>
          <w:szCs w:val="32"/>
        </w:rPr>
        <w:t>汇总</w:t>
      </w:r>
      <w:r>
        <w:rPr>
          <w:rFonts w:ascii="Times New Roman" w:hAnsi="Times New Roman" w:eastAsia="仿宋" w:cs="Times New Roman"/>
          <w:color w:val="auto"/>
          <w:sz w:val="32"/>
          <w:szCs w:val="32"/>
        </w:rPr>
        <w:t>结果数据后</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先</w:t>
      </w:r>
      <w:r>
        <w:rPr>
          <w:rFonts w:hint="eastAsia" w:ascii="Times New Roman" w:hAnsi="Times New Roman" w:eastAsia="仿宋" w:cs="Times New Roman"/>
          <w:color w:val="auto"/>
          <w:sz w:val="32"/>
          <w:szCs w:val="32"/>
        </w:rPr>
        <w:t>按照</w:t>
      </w:r>
      <w:r>
        <w:rPr>
          <w:rFonts w:ascii="Times New Roman" w:hAnsi="Times New Roman" w:eastAsia="仿宋" w:cs="Times New Roman"/>
          <w:color w:val="auto"/>
          <w:sz w:val="32"/>
          <w:szCs w:val="32"/>
        </w:rPr>
        <w:t>判定原则进行结果的初步评定</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再组织</w:t>
      </w:r>
      <w:r>
        <w:rPr>
          <w:rFonts w:hint="eastAsia" w:ascii="Times New Roman" w:hAnsi="Times New Roman" w:eastAsia="仿宋" w:cs="Times New Roman"/>
          <w:color w:val="auto"/>
          <w:sz w:val="32"/>
          <w:szCs w:val="32"/>
        </w:rPr>
        <w:t>专家</w:t>
      </w:r>
      <w:r>
        <w:rPr>
          <w:rFonts w:ascii="Times New Roman" w:hAnsi="Times New Roman" w:eastAsia="仿宋" w:cs="Times New Roman"/>
          <w:color w:val="auto"/>
          <w:sz w:val="32"/>
          <w:szCs w:val="32"/>
        </w:rPr>
        <w:t>进行</w:t>
      </w:r>
      <w:r>
        <w:rPr>
          <w:rFonts w:hint="eastAsia" w:ascii="Times New Roman" w:hAnsi="Times New Roman" w:eastAsia="仿宋" w:cs="Times New Roman"/>
          <w:color w:val="auto"/>
          <w:sz w:val="32"/>
          <w:szCs w:val="32"/>
        </w:rPr>
        <w:t>结果</w:t>
      </w:r>
      <w:r>
        <w:rPr>
          <w:rFonts w:ascii="Times New Roman" w:hAnsi="Times New Roman" w:eastAsia="仿宋" w:cs="Times New Roman"/>
          <w:color w:val="auto"/>
          <w:sz w:val="32"/>
          <w:szCs w:val="32"/>
        </w:rPr>
        <w:t>最终评定</w:t>
      </w:r>
      <w:r>
        <w:rPr>
          <w:rFonts w:hint="eastAsia" w:ascii="Times New Roman" w:hAnsi="Times New Roman" w:eastAsia="仿宋" w:cs="Times New Roman"/>
          <w:color w:val="auto"/>
          <w:sz w:val="32"/>
          <w:szCs w:val="32"/>
        </w:rPr>
        <w:t>。</w:t>
      </w:r>
    </w:p>
    <w:p>
      <w:pPr>
        <w:spacing w:line="560" w:lineRule="exact"/>
        <w:ind w:right="315" w:rightChars="150" w:firstLine="640" w:firstLineChars="200"/>
        <w:rPr>
          <w:rFonts w:ascii="仿宋_GB2312" w:hAnsi="仿宋_GB2312" w:eastAsia="仿宋_GB2312" w:cs="仿宋_GB2312"/>
          <w:color w:val="auto"/>
          <w:sz w:val="32"/>
          <w:szCs w:val="32"/>
        </w:rPr>
      </w:pPr>
      <w:r>
        <w:rPr>
          <w:rFonts w:hint="eastAsia" w:ascii="Times New Roman" w:hAnsi="Times New Roman" w:eastAsia="仿宋" w:cs="Times New Roman"/>
          <w:color w:val="auto"/>
          <w:sz w:val="32"/>
          <w:szCs w:val="32"/>
        </w:rPr>
        <w:t>1.比对单项评定</w:t>
      </w:r>
    </w:p>
    <w:p>
      <w:pPr>
        <w:numPr>
          <w:ilvl w:val="0"/>
          <w:numId w:val="0"/>
        </w:numPr>
        <w:spacing w:line="560" w:lineRule="exact"/>
        <w:ind w:right="315" w:rightChars="150"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按照确定的参考值范围，</w:t>
      </w:r>
      <w:r>
        <w:rPr>
          <w:rFonts w:hint="eastAsia" w:ascii="Times New Roman" w:hAnsi="Times New Roman" w:eastAsia="仿宋" w:cs="Times New Roman"/>
          <w:color w:val="auto"/>
          <w:sz w:val="32"/>
          <w:szCs w:val="32"/>
          <w:highlight w:val="none"/>
        </w:rPr>
        <w:t>分别</w:t>
      </w:r>
      <w:r>
        <w:rPr>
          <w:rFonts w:hint="eastAsia" w:ascii="Times New Roman" w:hAnsi="Times New Roman" w:eastAsia="仿宋" w:cs="Times New Roman"/>
          <w:color w:val="auto"/>
          <w:sz w:val="32"/>
          <w:szCs w:val="32"/>
        </w:rPr>
        <w:t>对各参加比对单位</w:t>
      </w:r>
      <w:r>
        <w:rPr>
          <w:rFonts w:ascii="Times New Roman" w:hAnsi="Times New Roman" w:eastAsia="仿宋" w:cs="Times New Roman"/>
          <w:color w:val="auto"/>
          <w:sz w:val="32"/>
          <w:szCs w:val="32"/>
        </w:rPr>
        <w:t>个人剂量</w:t>
      </w:r>
      <w:r>
        <w:rPr>
          <w:rFonts w:hint="eastAsia" w:ascii="Times New Roman" w:hAnsi="Times New Roman" w:eastAsia="仿宋" w:cs="Times New Roman"/>
          <w:color w:val="auto"/>
          <w:sz w:val="32"/>
          <w:szCs w:val="32"/>
        </w:rPr>
        <w:t>监测和总α总β放射性测量的比对结果进行评定。评定结果分为“优秀”、“合格”、“不合格”。</w:t>
      </w:r>
    </w:p>
    <w:p>
      <w:pPr>
        <w:spacing w:line="560" w:lineRule="exact"/>
        <w:ind w:right="315" w:rightChars="150"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机构</w:t>
      </w:r>
      <w:r>
        <w:rPr>
          <w:rFonts w:ascii="Times New Roman" w:hAnsi="Times New Roman" w:eastAsia="仿宋" w:cs="Times New Roman"/>
          <w:color w:val="auto"/>
          <w:sz w:val="32"/>
          <w:szCs w:val="32"/>
        </w:rPr>
        <w:t>综合评定</w:t>
      </w:r>
    </w:p>
    <w:p>
      <w:pPr>
        <w:spacing w:line="560" w:lineRule="exact"/>
        <w:ind w:right="315" w:rightChars="150"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综合评定结果分为“优秀”、“合格”和“不合格”。</w:t>
      </w:r>
    </w:p>
    <w:p>
      <w:pPr>
        <w:spacing w:line="560" w:lineRule="exact"/>
        <w:ind w:right="315" w:rightChars="150"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应参加的项目中，全部“优秀”的，综合评定结果为“优秀”；有1类及以上项目“不合格”或未参加的，综合评定结果为“不合格”；其他情况综合判定为“合格”。</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八、</w:t>
      </w:r>
      <w:r>
        <w:rPr>
          <w:rFonts w:ascii="黑体" w:hAnsi="黑体" w:eastAsia="黑体"/>
          <w:color w:val="auto"/>
          <w:sz w:val="32"/>
          <w:szCs w:val="32"/>
        </w:rPr>
        <w:t>报送</w:t>
      </w:r>
      <w:r>
        <w:rPr>
          <w:rFonts w:hint="eastAsia" w:ascii="黑体" w:hAnsi="黑体" w:eastAsia="黑体"/>
          <w:color w:val="auto"/>
          <w:sz w:val="32"/>
          <w:szCs w:val="32"/>
        </w:rPr>
        <w:t>比对报告</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北京市疾病预防控制中心汇总分析比对结果（包括参加国家级、市级比对的单位），撰写本辖区《</w:t>
      </w:r>
      <w:r>
        <w:rPr>
          <w:rFonts w:ascii="仿宋" w:hAnsi="仿宋" w:eastAsia="仿宋"/>
          <w:color w:val="auto"/>
          <w:sz w:val="32"/>
          <w:szCs w:val="32"/>
        </w:rPr>
        <w:t>2022年度</w:t>
      </w:r>
      <w:r>
        <w:rPr>
          <w:rFonts w:hint="eastAsia" w:ascii="仿宋" w:hAnsi="仿宋" w:eastAsia="仿宋"/>
          <w:color w:val="auto"/>
          <w:sz w:val="32"/>
          <w:szCs w:val="32"/>
        </w:rPr>
        <w:t>北京市</w:t>
      </w:r>
      <w:r>
        <w:rPr>
          <w:rFonts w:ascii="仿宋" w:hAnsi="仿宋" w:eastAsia="仿宋"/>
          <w:color w:val="auto"/>
          <w:sz w:val="32"/>
          <w:szCs w:val="32"/>
        </w:rPr>
        <w:t>放射卫生检测能力比对报告》，报</w:t>
      </w:r>
      <w:r>
        <w:rPr>
          <w:rFonts w:hint="eastAsia" w:ascii="仿宋" w:hAnsi="仿宋" w:eastAsia="仿宋"/>
          <w:color w:val="auto"/>
          <w:sz w:val="32"/>
          <w:szCs w:val="32"/>
        </w:rPr>
        <w:t>北</w:t>
      </w:r>
      <w:r>
        <w:rPr>
          <w:rFonts w:ascii="仿宋" w:hAnsi="仿宋" w:eastAsia="仿宋"/>
          <w:color w:val="auto"/>
          <w:sz w:val="32"/>
          <w:szCs w:val="32"/>
        </w:rPr>
        <w:t>京市卫生健康行政部门审定后，于2022年11月15日前，将</w:t>
      </w:r>
      <w:r>
        <w:rPr>
          <w:rFonts w:hint="eastAsia" w:ascii="仿宋" w:hAnsi="仿宋" w:eastAsia="仿宋"/>
          <w:color w:val="auto"/>
          <w:sz w:val="32"/>
          <w:szCs w:val="32"/>
        </w:rPr>
        <w:t>盖章的</w:t>
      </w:r>
      <w:r>
        <w:rPr>
          <w:rFonts w:ascii="仿宋" w:hAnsi="仿宋" w:eastAsia="仿宋"/>
          <w:color w:val="auto"/>
          <w:sz w:val="32"/>
          <w:szCs w:val="32"/>
        </w:rPr>
        <w:t>《比对报告》及参加比对单位名称、比对项目及结果信息等数据</w:t>
      </w:r>
      <w:r>
        <w:rPr>
          <w:rFonts w:hint="eastAsia" w:ascii="仿宋" w:hAnsi="仿宋" w:eastAsia="仿宋"/>
          <w:color w:val="auto"/>
          <w:sz w:val="32"/>
          <w:szCs w:val="32"/>
        </w:rPr>
        <w:t>通过网络</w:t>
      </w:r>
      <w:r>
        <w:rPr>
          <w:rFonts w:ascii="仿宋" w:hAnsi="仿宋" w:eastAsia="仿宋"/>
          <w:color w:val="auto"/>
          <w:sz w:val="32"/>
          <w:szCs w:val="32"/>
        </w:rPr>
        <w:t>报送中国疾控中心辐射安全所。</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九、比对工作质量控制</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北京市疾病预防控制中心对参加本机构组织实施的比对项目的单位进行业务培训，指导各参加比对单位严格按照比对技术方案开展比对工作，对比对结果出现的异常进行核查，及时通报比对工作中的不规范做法。结果不合格的机构应查找自身问题，进行整改后可申请重测。</w:t>
      </w:r>
    </w:p>
    <w:p>
      <w:pPr>
        <w:spacing w:line="560" w:lineRule="exact"/>
        <w:ind w:right="315" w:rightChars="150" w:firstLine="640" w:firstLineChars="200"/>
        <w:rPr>
          <w:rFonts w:ascii="黑体" w:hAnsi="黑体" w:eastAsia="黑体"/>
          <w:color w:val="auto"/>
          <w:sz w:val="32"/>
          <w:szCs w:val="32"/>
        </w:rPr>
      </w:pPr>
      <w:r>
        <w:rPr>
          <w:rFonts w:hint="eastAsia" w:ascii="黑体" w:hAnsi="黑体" w:eastAsia="黑体"/>
          <w:color w:val="auto"/>
          <w:sz w:val="32"/>
          <w:szCs w:val="32"/>
        </w:rPr>
        <w:t>十、进度安排</w:t>
      </w:r>
    </w:p>
    <w:p>
      <w:pPr>
        <w:spacing w:line="560" w:lineRule="exact"/>
        <w:ind w:right="315" w:rightChars="150" w:firstLine="640" w:firstLineChars="200"/>
        <w:rPr>
          <w:rFonts w:ascii="仿宋" w:hAnsi="仿宋" w:eastAsia="仿宋"/>
          <w:color w:val="auto"/>
          <w:sz w:val="32"/>
          <w:szCs w:val="32"/>
        </w:rPr>
      </w:pPr>
      <w:r>
        <w:rPr>
          <w:rFonts w:ascii="仿宋" w:hAnsi="仿宋" w:eastAsia="仿宋"/>
          <w:color w:val="auto"/>
          <w:sz w:val="32"/>
          <w:szCs w:val="32"/>
        </w:rPr>
        <w:t>1.202</w:t>
      </w:r>
      <w:r>
        <w:rPr>
          <w:rFonts w:hint="eastAsia" w:ascii="仿宋" w:hAnsi="仿宋" w:eastAsia="仿宋"/>
          <w:color w:val="auto"/>
          <w:sz w:val="32"/>
          <w:szCs w:val="32"/>
        </w:rPr>
        <w:t>2</w:t>
      </w:r>
      <w:r>
        <w:rPr>
          <w:rFonts w:ascii="仿宋" w:hAnsi="仿宋" w:eastAsia="仿宋"/>
          <w:color w:val="auto"/>
          <w:sz w:val="32"/>
          <w:szCs w:val="32"/>
        </w:rPr>
        <w:t>年</w:t>
      </w:r>
      <w:r>
        <w:rPr>
          <w:rFonts w:hint="eastAsia" w:ascii="仿宋" w:hAnsi="仿宋" w:eastAsia="仿宋"/>
          <w:color w:val="auto"/>
          <w:sz w:val="32"/>
          <w:szCs w:val="32"/>
        </w:rPr>
        <w:t>7</w:t>
      </w:r>
      <w:r>
        <w:rPr>
          <w:rFonts w:ascii="仿宋" w:hAnsi="仿宋" w:eastAsia="仿宋"/>
          <w:color w:val="auto"/>
          <w:sz w:val="32"/>
          <w:szCs w:val="32"/>
        </w:rPr>
        <w:t>月</w:t>
      </w:r>
      <w:r>
        <w:rPr>
          <w:rFonts w:hint="eastAsia" w:ascii="仿宋" w:hAnsi="仿宋" w:eastAsia="仿宋"/>
          <w:color w:val="auto"/>
          <w:sz w:val="32"/>
          <w:szCs w:val="32"/>
        </w:rPr>
        <w:t>15</w:t>
      </w:r>
      <w:r>
        <w:rPr>
          <w:rFonts w:ascii="仿宋" w:hAnsi="仿宋" w:eastAsia="仿宋"/>
          <w:color w:val="auto"/>
          <w:sz w:val="32"/>
          <w:szCs w:val="32"/>
        </w:rPr>
        <w:t>日前发放个人剂量</w:t>
      </w:r>
      <w:r>
        <w:rPr>
          <w:rFonts w:hint="eastAsia" w:ascii="仿宋" w:hAnsi="仿宋" w:eastAsia="仿宋"/>
          <w:color w:val="auto"/>
          <w:sz w:val="32"/>
          <w:szCs w:val="32"/>
        </w:rPr>
        <w:t>监测和总α总β放射性测量作业指导书</w:t>
      </w:r>
      <w:r>
        <w:rPr>
          <w:rFonts w:ascii="仿宋" w:hAnsi="仿宋" w:eastAsia="仿宋"/>
          <w:color w:val="auto"/>
          <w:sz w:val="32"/>
          <w:szCs w:val="32"/>
        </w:rPr>
        <w:t>。</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202</w:t>
      </w:r>
      <w:r>
        <w:rPr>
          <w:rFonts w:hint="eastAsia" w:ascii="仿宋" w:hAnsi="仿宋" w:eastAsia="仿宋"/>
          <w:color w:val="auto"/>
          <w:sz w:val="32"/>
          <w:szCs w:val="32"/>
        </w:rPr>
        <w:t>2</w:t>
      </w:r>
      <w:r>
        <w:rPr>
          <w:rFonts w:ascii="仿宋" w:hAnsi="仿宋" w:eastAsia="仿宋"/>
          <w:color w:val="auto"/>
          <w:sz w:val="32"/>
          <w:szCs w:val="32"/>
        </w:rPr>
        <w:t>年8月</w:t>
      </w:r>
      <w:r>
        <w:rPr>
          <w:rFonts w:hint="eastAsia" w:ascii="仿宋" w:hAnsi="仿宋" w:eastAsia="仿宋"/>
          <w:color w:val="auto"/>
          <w:sz w:val="32"/>
          <w:szCs w:val="32"/>
        </w:rPr>
        <w:t>15</w:t>
      </w:r>
      <w:r>
        <w:rPr>
          <w:rFonts w:ascii="仿宋" w:hAnsi="仿宋" w:eastAsia="仿宋"/>
          <w:color w:val="auto"/>
          <w:sz w:val="32"/>
          <w:szCs w:val="32"/>
        </w:rPr>
        <w:t>日接收</w:t>
      </w:r>
      <w:r>
        <w:rPr>
          <w:rFonts w:hint="eastAsia" w:ascii="仿宋" w:hAnsi="仿宋" w:eastAsia="仿宋"/>
          <w:color w:val="auto"/>
          <w:sz w:val="32"/>
          <w:szCs w:val="32"/>
        </w:rPr>
        <w:t>个人剂量</w:t>
      </w:r>
      <w:r>
        <w:rPr>
          <w:rFonts w:ascii="仿宋" w:hAnsi="仿宋" w:eastAsia="仿宋"/>
          <w:color w:val="auto"/>
          <w:sz w:val="32"/>
          <w:szCs w:val="32"/>
        </w:rPr>
        <w:t>考核样品，参比机构应</w:t>
      </w:r>
      <w:r>
        <w:rPr>
          <w:rFonts w:hint="eastAsia" w:ascii="仿宋" w:hAnsi="仿宋" w:eastAsia="仿宋"/>
          <w:color w:val="auto"/>
          <w:sz w:val="32"/>
          <w:szCs w:val="32"/>
        </w:rPr>
        <w:t>按时限要求</w:t>
      </w:r>
      <w:r>
        <w:rPr>
          <w:rFonts w:ascii="仿宋" w:hAnsi="仿宋" w:eastAsia="仿宋"/>
          <w:color w:val="auto"/>
          <w:sz w:val="32"/>
          <w:szCs w:val="32"/>
        </w:rPr>
        <w:t>提交样品。</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.202</w:t>
      </w:r>
      <w:r>
        <w:rPr>
          <w:rFonts w:hint="eastAsia" w:ascii="仿宋" w:hAnsi="仿宋" w:eastAsia="仿宋"/>
          <w:color w:val="auto"/>
          <w:sz w:val="32"/>
          <w:szCs w:val="32"/>
        </w:rPr>
        <w:t>2</w:t>
      </w:r>
      <w:r>
        <w:rPr>
          <w:rFonts w:ascii="仿宋" w:hAnsi="仿宋" w:eastAsia="仿宋"/>
          <w:color w:val="auto"/>
          <w:sz w:val="32"/>
          <w:szCs w:val="32"/>
        </w:rPr>
        <w:t>年9月10日前</w:t>
      </w:r>
      <w:r>
        <w:rPr>
          <w:rFonts w:hint="eastAsia" w:ascii="仿宋" w:hAnsi="仿宋" w:eastAsia="仿宋"/>
          <w:color w:val="auto"/>
          <w:sz w:val="32"/>
          <w:szCs w:val="32"/>
        </w:rPr>
        <w:t>北京市疾病预防控制中心</w:t>
      </w:r>
      <w:r>
        <w:rPr>
          <w:rFonts w:ascii="仿宋" w:hAnsi="仿宋" w:eastAsia="仿宋"/>
          <w:color w:val="auto"/>
          <w:sz w:val="32"/>
          <w:szCs w:val="32"/>
        </w:rPr>
        <w:t>完成</w:t>
      </w:r>
      <w:r>
        <w:rPr>
          <w:rFonts w:hint="eastAsia" w:ascii="仿宋" w:hAnsi="仿宋" w:eastAsia="仿宋"/>
          <w:color w:val="auto"/>
          <w:sz w:val="32"/>
          <w:szCs w:val="32"/>
        </w:rPr>
        <w:t>总α总β放射性测量样品的发放，并完成</w:t>
      </w:r>
      <w:r>
        <w:rPr>
          <w:rFonts w:ascii="仿宋" w:hAnsi="仿宋" w:eastAsia="仿宋"/>
          <w:color w:val="auto"/>
          <w:sz w:val="32"/>
          <w:szCs w:val="32"/>
        </w:rPr>
        <w:t>参加个人剂量比对的样品照射</w:t>
      </w:r>
      <w:r>
        <w:rPr>
          <w:rFonts w:hint="eastAsia" w:ascii="仿宋" w:hAnsi="仿宋" w:eastAsia="仿宋"/>
          <w:color w:val="auto"/>
          <w:sz w:val="32"/>
          <w:szCs w:val="32"/>
        </w:rPr>
        <w:t>与</w:t>
      </w:r>
      <w:r>
        <w:rPr>
          <w:rFonts w:ascii="仿宋" w:hAnsi="仿宋" w:eastAsia="仿宋"/>
          <w:color w:val="auto"/>
          <w:sz w:val="32"/>
          <w:szCs w:val="32"/>
        </w:rPr>
        <w:t>寄出。</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4</w:t>
      </w:r>
      <w:r>
        <w:rPr>
          <w:rFonts w:ascii="仿宋" w:hAnsi="仿宋" w:eastAsia="仿宋"/>
          <w:color w:val="auto"/>
          <w:sz w:val="32"/>
          <w:szCs w:val="32"/>
        </w:rPr>
        <w:t>.202</w:t>
      </w:r>
      <w:r>
        <w:rPr>
          <w:rFonts w:hint="eastAsia" w:ascii="仿宋" w:hAnsi="仿宋" w:eastAsia="仿宋"/>
          <w:color w:val="auto"/>
          <w:sz w:val="32"/>
          <w:szCs w:val="32"/>
        </w:rPr>
        <w:t>2</w:t>
      </w:r>
      <w:r>
        <w:rPr>
          <w:rFonts w:ascii="仿宋" w:hAnsi="仿宋" w:eastAsia="仿宋"/>
          <w:color w:val="auto"/>
          <w:sz w:val="32"/>
          <w:szCs w:val="32"/>
        </w:rPr>
        <w:t>年9月30日前参加比对机构提交比对结果报告。</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5</w:t>
      </w:r>
      <w:r>
        <w:rPr>
          <w:rFonts w:ascii="仿宋" w:hAnsi="仿宋" w:eastAsia="仿宋"/>
          <w:color w:val="auto"/>
          <w:sz w:val="32"/>
          <w:szCs w:val="32"/>
        </w:rPr>
        <w:t>.202</w:t>
      </w:r>
      <w:r>
        <w:rPr>
          <w:rFonts w:hint="eastAsia" w:ascii="仿宋" w:hAnsi="仿宋" w:eastAsia="仿宋"/>
          <w:color w:val="auto"/>
          <w:sz w:val="32"/>
          <w:szCs w:val="32"/>
        </w:rPr>
        <w:t>2</w:t>
      </w:r>
      <w:r>
        <w:rPr>
          <w:rFonts w:ascii="仿宋" w:hAnsi="仿宋" w:eastAsia="仿宋"/>
          <w:color w:val="auto"/>
          <w:sz w:val="32"/>
          <w:szCs w:val="32"/>
        </w:rPr>
        <w:t>年10月30日前</w:t>
      </w:r>
      <w:r>
        <w:rPr>
          <w:rFonts w:hint="eastAsia" w:ascii="仿宋" w:hAnsi="仿宋" w:eastAsia="仿宋"/>
          <w:color w:val="auto"/>
          <w:sz w:val="32"/>
          <w:szCs w:val="32"/>
        </w:rPr>
        <w:t>北京市疾病预防控制中心完成</w:t>
      </w:r>
      <w:r>
        <w:rPr>
          <w:rFonts w:ascii="仿宋" w:hAnsi="仿宋" w:eastAsia="仿宋"/>
          <w:color w:val="auto"/>
          <w:sz w:val="32"/>
          <w:szCs w:val="32"/>
        </w:rPr>
        <w:t>对参加比对机构提供的结果进行判定。</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联系方式：</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通信地址：北京市东城区和平里中街</w:t>
      </w:r>
      <w:r>
        <w:rPr>
          <w:rFonts w:ascii="仿宋" w:hAnsi="仿宋" w:eastAsia="仿宋"/>
          <w:color w:val="auto"/>
          <w:sz w:val="32"/>
          <w:szCs w:val="32"/>
        </w:rPr>
        <w:t>39号北京疾控中心北院</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邮编：</w:t>
      </w:r>
      <w:r>
        <w:rPr>
          <w:rFonts w:ascii="仿宋" w:hAnsi="仿宋" w:eastAsia="仿宋"/>
          <w:color w:val="auto"/>
          <w:sz w:val="32"/>
          <w:szCs w:val="32"/>
        </w:rPr>
        <w:t>100013</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联系人：</w:t>
      </w:r>
      <w:r>
        <w:rPr>
          <w:rFonts w:ascii="仿宋" w:hAnsi="仿宋" w:eastAsia="仿宋"/>
          <w:color w:val="auto"/>
          <w:sz w:val="32"/>
          <w:szCs w:val="32"/>
        </w:rPr>
        <w:t xml:space="preserve"> 冯泽臣 </w:t>
      </w:r>
      <w:r>
        <w:rPr>
          <w:rFonts w:hint="eastAsia" w:ascii="仿宋" w:hAnsi="仿宋" w:eastAsia="仿宋"/>
          <w:color w:val="auto"/>
          <w:sz w:val="32"/>
          <w:szCs w:val="32"/>
        </w:rPr>
        <w:t>、孙亚茹</w:t>
      </w:r>
    </w:p>
    <w:p>
      <w:pPr>
        <w:spacing w:line="560" w:lineRule="exact"/>
        <w:ind w:right="315" w:rightChars="150" w:firstLine="640" w:firstLineChars="200"/>
        <w:rPr>
          <w:rFonts w:ascii="仿宋" w:hAnsi="仿宋" w:eastAsia="仿宋"/>
          <w:color w:val="auto"/>
          <w:sz w:val="32"/>
          <w:szCs w:val="32"/>
        </w:rPr>
      </w:pPr>
      <w:r>
        <w:rPr>
          <w:rFonts w:ascii="仿宋" w:hAnsi="仿宋" w:eastAsia="仿宋"/>
          <w:color w:val="auto"/>
          <w:sz w:val="32"/>
          <w:szCs w:val="32"/>
        </w:rPr>
        <w:t>电话：010-64407221、</w:t>
      </w:r>
      <w:r>
        <w:rPr>
          <w:rFonts w:hint="eastAsia" w:ascii="仿宋" w:hAnsi="仿宋" w:eastAsia="仿宋"/>
          <w:color w:val="auto"/>
          <w:sz w:val="32"/>
          <w:szCs w:val="32"/>
        </w:rPr>
        <w:t>010-</w:t>
      </w:r>
      <w:r>
        <w:rPr>
          <w:rFonts w:ascii="仿宋" w:hAnsi="仿宋" w:eastAsia="仿宋"/>
          <w:color w:val="auto"/>
          <w:sz w:val="32"/>
          <w:szCs w:val="32"/>
        </w:rPr>
        <w:t>644072</w:t>
      </w:r>
      <w:r>
        <w:rPr>
          <w:rFonts w:hint="eastAsia" w:ascii="仿宋" w:hAnsi="仿宋" w:eastAsia="仿宋"/>
          <w:color w:val="auto"/>
          <w:sz w:val="32"/>
          <w:szCs w:val="32"/>
        </w:rPr>
        <w:t>12</w:t>
      </w:r>
    </w:p>
    <w:p>
      <w:pPr>
        <w:spacing w:line="560" w:lineRule="exact"/>
        <w:ind w:right="315" w:rightChars="150" w:firstLine="640" w:firstLineChars="200"/>
        <w:rPr>
          <w:rFonts w:ascii="仿宋" w:hAnsi="仿宋" w:eastAsia="仿宋"/>
          <w:color w:val="auto"/>
          <w:sz w:val="32"/>
          <w:szCs w:val="32"/>
        </w:rPr>
      </w:pPr>
      <w:r>
        <w:rPr>
          <w:rFonts w:hint="eastAsia" w:ascii="仿宋" w:hAnsi="仿宋" w:eastAsia="仿宋"/>
          <w:color w:val="auto"/>
          <w:sz w:val="32"/>
          <w:szCs w:val="32"/>
        </w:rPr>
        <w:t>邮箱：</w:t>
      </w:r>
      <w:r>
        <w:rPr>
          <w:color w:val="auto"/>
        </w:rPr>
        <w:fldChar w:fldCharType="begin"/>
      </w:r>
      <w:r>
        <w:rPr>
          <w:color w:val="auto"/>
        </w:rPr>
        <w:instrText xml:space="preserve"> HYPERLINK "mailto:fzcjlu@163.com" </w:instrText>
      </w:r>
      <w:r>
        <w:rPr>
          <w:color w:val="auto"/>
        </w:rPr>
        <w:fldChar w:fldCharType="separate"/>
      </w:r>
      <w:r>
        <w:rPr>
          <w:rStyle w:val="15"/>
          <w:rFonts w:ascii="仿宋" w:hAnsi="仿宋" w:eastAsia="仿宋"/>
          <w:color w:val="auto"/>
          <w:sz w:val="32"/>
          <w:szCs w:val="32"/>
          <w:u w:val="none"/>
        </w:rPr>
        <w:t>fzcjlu@163.com</w:t>
      </w:r>
      <w:r>
        <w:rPr>
          <w:rFonts w:ascii="仿宋" w:hAnsi="仿宋" w:eastAsia="仿宋"/>
          <w:color w:val="auto"/>
          <w:sz w:val="32"/>
          <w:szCs w:val="32"/>
          <w:u w:val="none"/>
        </w:rPr>
        <w:fldChar w:fldCharType="end"/>
      </w:r>
      <w:r>
        <w:rPr>
          <w:rFonts w:ascii="仿宋" w:hAnsi="仿宋" w:eastAsia="仿宋"/>
          <w:color w:val="auto"/>
          <w:sz w:val="32"/>
          <w:szCs w:val="32"/>
        </w:rPr>
        <w:t>、394568322@qq.com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730007"/>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12">
    <w:name w:val="Note Heading"/>
    <w:basedOn w:val="2"/>
    <w:next w:val="1"/>
    <w:qFormat/>
    <w:uiPriority w:val="0"/>
    <w:pPr>
      <w:ind w:left="630" w:leftChars="100" w:right="100" w:rightChars="100" w:firstLine="200"/>
      <w:jc w:val="left"/>
    </w:pPr>
    <w:rPr>
      <w:rFonts w:ascii="Calibri" w:hAnsi="Calibri" w:eastAsia="仿宋" w:cs="Times New Roman"/>
      <w:sz w:val="32"/>
      <w:szCs w:val="24"/>
    </w:rPr>
  </w:style>
  <w:style w:type="character" w:styleId="15">
    <w:name w:val="Hyperlink"/>
    <w:basedOn w:val="14"/>
    <w:qFormat/>
    <w:uiPriority w:val="99"/>
    <w:rPr>
      <w:color w:val="0000FF"/>
      <w:u w:val="single"/>
    </w:rPr>
  </w:style>
  <w:style w:type="paragraph" w:customStyle="1" w:styleId="16">
    <w:name w:val=" Char"/>
    <w:basedOn w:val="1"/>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2022-07-15T06:58:35Z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BB3FE391DE184FB2AE7B7C1D37276D39</vt:lpwstr>
  </property>
</Properties>
</file>