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spacing w:line="240" w:lineRule="auto"/>
        <w:ind w:left="0" w:leftChars="0" w:firstLine="0" w:firstLineChars="0"/>
        <w:jc w:val="left"/>
        <w:textAlignment w:val="center"/>
        <w:rPr>
          <w:rStyle w:val="14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14"/>
          <w:rFonts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Style w:val="14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textAlignment w:val="center"/>
        <w:rPr>
          <w:rStyle w:val="14"/>
          <w:b w:val="0"/>
          <w:bCs w:val="0"/>
          <w:sz w:val="18"/>
          <w:szCs w:val="21"/>
        </w:rPr>
      </w:pP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>2022年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北京市社区老年健康服务规范化建设评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价</w:t>
      </w:r>
      <w:r>
        <w:rPr>
          <w:rStyle w:val="1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标准</w:t>
      </w:r>
    </w:p>
    <w:tbl>
      <w:tblPr>
        <w:tblStyle w:val="11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698"/>
        <w:gridCol w:w="908"/>
        <w:gridCol w:w="3612"/>
        <w:gridCol w:w="5238"/>
        <w:gridCol w:w="2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Header/>
          <w:jc w:val="center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Style w:val="14"/>
                <w:rFonts w:ascii="黑体" w:eastAsia="黑体" w:cs="黑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Style w:val="14"/>
                <w:rFonts w:ascii="黑体" w:eastAsia="黑体" w:cs="黑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Style w:val="14"/>
                <w:rFonts w:ascii="黑体" w:eastAsia="黑体" w:cs="黑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Style w:val="14"/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规范化建设要求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Style w:val="14"/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评估标准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Style w:val="14"/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资料(数据)获取途径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1.组织管理(30分)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1.1制度管理(6分)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1.1.1组织管理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有明确老年健康服务的功能定位、宗旨愿景、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健康老龄化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老年健康服务理念，建立老年服务的组织机构，专人专责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，开展相关工作。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有老年服务组织机构(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0.25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分)，明确街乡镇属地责任，有</w:t>
            </w:r>
            <w:r>
              <w:rPr>
                <w:rStyle w:val="14"/>
                <w:rFonts w:ascii="宋体" w:hAnsi="宋体" w:eastAsia="宋体" w:cs="宋体"/>
                <w:kern w:val="0"/>
                <w:sz w:val="22"/>
                <w:szCs w:val="22"/>
              </w:rPr>
              <w:t>机构外合作、协同单位人员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0.25分)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，机构的相关人员安排和职责分工(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0.25分)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，开展相关工作记录，如例会、现场活动等资料(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0.25分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现场查阅老年人健康管理组织机构资料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1.1.2制度建设并归档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具备完善的行政、投入、支持、保障、流程等制度，并将</w:t>
            </w:r>
            <w:bookmarkStart w:id="0" w:name="_GoBack"/>
            <w:bookmarkEnd w:id="0"/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所有资料归档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规范化建设工作管理制度，如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行政管理制度，资金投入制度、支持老年人健康管理的各相关科室的支持和保障制度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(0.5分)、岗位职责(0.5分)、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相关工作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业务流程(0.5分)；开展技术服务监管/工作推进的考核(0.5分)。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现场查阅相关制度，查阅所有资料的归档管理情况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1.1.3资质合规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机构应按照核准登记的诊疗科目开展老年健康服务，诊疗科目应至少包括全科医学、中医科、康复科、临终关怀等；注册服务方式应有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巡诊和家庭病床等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各种诊疗科目如全科医学、中医科、康复科、临终关怀等符合资质(0.4分)；执照范围加注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巡诊和家庭病床等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(0.6分)。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医疗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机构执业注册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卫生专业人员具备相应的执业证书，具有与岗位匹配的知识和工作技能。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卫技人员有相应的执业资格(0.5分)，卫技人员知识和工作技能与岗位匹配(0.5分)。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现场查阅老年人健康管理的医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防人员的执业资格证书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1.1.4优先服务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建立优先服务管理制度，优先为三失(失独、失能、失智)、一独(独居)、一重(重病)老年人开展个性化服务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建立有关制度(0.3分)，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各窗口有优先标识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(0.2分)，开展有关服务(0.5分)。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查阅制度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并在各窗口查看是否有优先标识。观察诊室等处是否对相关人员提供优先服务，也可现场提问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1.2保障支持(7分)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1.2.1服务经费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加大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资金投入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保障老年健康服务建设和服务提供。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利用本机构经费加大对老年人服务设施设备的投入(0.25分)；加大对科室建设的投入(0.25分)；加大对人员聘用、培训、激励的投入(0.25分)；加大对宣传活动的投入(0.25分)。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查阅机构有关老年人服务资金拨付、收入、支出、建设、设备配备、人才培养等凭证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1.2.2无障碍和适老改造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防跌倒的环境和适老化设备设施改造，营造老年健康关爱文化与环境建设。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提供适老设备(0.5分)；提供防跌倒环境(0.25分)；提供关爱老年人文化氛围和环境(0.25分)。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现场观察适老设备、防跌倒环境及老年健康关爱环境设施等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1.2.3科室建设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预防、门急诊、康复、护理、病房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、老年科(家床科)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等科室设置合理、完善，具有针对老年人的相对独立空间，配备相关设备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。提供床位用于老年康复、护理、安宁疗护等服务。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科室设置合理、完善，具有针对老年人的相对独立空间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(0.25分)；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相关的医疗设备和服务设施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符合《北京市社区卫生服务机构规划与建设标准》(京卫基层【2022】2号)中的设施设备标准(0.25分)；有老年科(家床科)工作规范开展记录(0.25分)；有床位使用和管理记录(0.25分)。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在诊疗、预防保健、康复护理、病房等科室查看是否有针对老年人服务的空间、相关的医疗设备和服务设施。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查看老年科(家床科)工作开展记录。查看床位使用和管理记录。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1.2.4绿色通道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具备老年人预约、挂号就医的绿色通道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主要临床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科室具有老年人就医、转诊绿色通道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；机构与辖区养老机构、合作医疗机构建立双向转诊绿色通道。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sz w:val="22"/>
                <w:szCs w:val="22"/>
              </w:rPr>
              <w:t>提供人工服务窗口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(0.2分)</w:t>
            </w:r>
            <w:r>
              <w:rPr>
                <w:rStyle w:val="14"/>
                <w:rFonts w:hint="eastAsia" w:ascii="宋体" w:hAnsi="宋体" w:eastAsia="宋体" w:cs="宋体"/>
                <w:sz w:val="22"/>
                <w:szCs w:val="22"/>
              </w:rPr>
              <w:t>，开展预约挂号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(0.3分)，</w:t>
            </w:r>
            <w:r>
              <w:rPr>
                <w:rStyle w:val="14"/>
                <w:rFonts w:hint="eastAsia" w:ascii="宋体" w:hAnsi="宋体" w:eastAsia="宋体" w:cs="宋体"/>
                <w:sz w:val="22"/>
                <w:szCs w:val="22"/>
              </w:rPr>
              <w:t>在诊疗区域有老年人绿色通道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(0.3分)</w:t>
            </w:r>
            <w:r>
              <w:rPr>
                <w:rStyle w:val="14"/>
                <w:rFonts w:hint="eastAsia" w:ascii="宋体" w:hAnsi="宋体" w:eastAsia="宋体" w:cs="宋体"/>
                <w:sz w:val="22"/>
                <w:szCs w:val="22"/>
              </w:rPr>
              <w:t>，在诊疗区域有老年人转诊绿色通道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(0.4分)；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与辖区养老机构建立双向转诊的工作机制(工作流程、制度、合作协议等)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(与养老机构签署的协议需符合《医疗卫生机构与养老服务机构签约合作服务指南(试行)》的要求。)(0.4分)；与合作医疗机构建立双向转诊的工作机制(工作流程、制度、合作协议等)(0.4分)。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在挂号室或计算机室现场查看老年人服务窗口，预约挂号，在诊疗区域观察就医绿色通道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，查看与辖区养老机构、合作医疗机构建立双向转诊的工作机制。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1.2.5延伸服务设施设备配置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家庭病床、巡诊等上门服务，引入适合老年智能化健康服务设备。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能够开展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家庭病床、巡诊等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相关服务(0.5分)；有适合老年智能化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设备(0.5分)。</w:t>
            </w:r>
          </w:p>
        </w:tc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通过信息系统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、健康自助系统/健康小屋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或机构APP等查阅为老年人提供的诊疗服务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完善互联网/物联网等系统平台以提供远程诊疗、咨询服务。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有相关平台提供服务远程诊疗服务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提供咨询服务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(0.5分)。</w:t>
            </w:r>
          </w:p>
        </w:tc>
        <w:tc>
          <w:tcPr>
            <w:tcW w:w="10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1.3队伍建设(7分)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1.3.1管理人员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机构内老年健康管理的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院科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层干部定期开展/参加培训，具有培训记录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开展/参加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老年健康管理的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相关培训(1分)，培训记录资料完整(1分)。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现场查阅培训记录资料。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1.3.2专业服务团队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具有健康教育、疾病预防、养生保健、心理咨询、医疗救治和康复护理等全科、专科医疗、护理骨干队伍的培养计划，定期开展培训，提升服务能力。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慢性病管理、老年综合征防治、老年口腔健康、老年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心理、康复护理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等老年健康服务相关的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培训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，有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培养计划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(0.5分)，全员培训、相关专科人员培训、相关内容护理人员培训资料完整(1.5分)。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医疗专技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人员进行的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培训记录。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1.3.3社会资源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吸纳并管理家庭保健员、社工、志愿者等社会资源开展老年健康服务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有相关人员的背景资料，如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姓名、家庭住址、从事职业、提供服务情况等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(1分)；有相关人员服务记录(1分)。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现场查阅参与本机构老年健康服务的其他社会人员的相关资料。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1.4信息化(5分)</w:t>
            </w: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1.4.1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能够利用信息系统平台进行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健康档案、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健康评估、服务流程监管、质量控制与评价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能够利用信息系统开展健康档案、健康评估(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分)；能对服务流程进行监管、能进行质量控制和评价(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查阅机构信息系统，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看机构提供的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老年健康管理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相关服务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及时、准确上报老年健康服务相关数据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且达到北京市老年健康服务率的管理要求。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及时准确上报(0.5分)；2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021年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65岁及以上老年人健康数据中城乡规范健康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≥6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%(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.5分)；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医养结合服务率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%(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.5分)；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失能老年人健康服务率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%(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查看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021年度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《老年健康服务年报表》和国家基本公共卫生服务平台老年人健康管理报表数据的上报资料。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1.4.2智慧医疗服务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利用“互联网+医疗”和“互联网+护理服务”模式推进医疗和护理服务延伸至社区和家庭。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通过机构信息系统或APP，提供的个体和群体的健康状况分析、评估等内容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互联网+健康服务、物联网+健康管理、智慧家医等信息化服务手段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利用系统对个人健康状况进行分析、评估、健康指导(0.5分)；利用系统对群体进行分析、评估、健康指导(0.5分)。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查看机构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信息化服务手段，查阅机构对个人或群体的健康状况数据分析、评估分类、给予健康指导及专项服务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1.5老年友善(5分)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达到社区老年友善医疗机构标准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老年友善医疗机构评价通过，已授牌(5分)；评价未通过(根据得分折算)；建设中/待验收(待友善验收后根据得分折算)；未建设(0分)。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对照老年友善医疗机构评价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2.服务提供(65分)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2.1健康教育(7分)</w:t>
            </w: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2.1.1健康宣教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将健康教育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融于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老年健康全流程服务当中。为老年人及其照护者发放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符合老年群体特点的具有针对性的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健康教育印刷资料，每年提供不少于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相关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内容的印刷资料。</w:t>
            </w:r>
          </w:p>
        </w:tc>
        <w:tc>
          <w:tcPr>
            <w:tcW w:w="187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健康教育资料不少于3种，包括且不限于疾病防治、失能失智预防、生活方式、健康素养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防跌倒、中医养生保健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；音像资料不少于3种，包括且不限于疾病防治、医保相关政策、疫情防控政策、医养结合等老龄相关新闻宣传等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健康讲座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每季度1次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中医药内容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(如中医药诊疗、疾病预防、养生保健等方法)每年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不少于2次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(0.25分)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，对老年人及家庭成员进行生命观教育和其他内容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(0.25分)；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举办老年健康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相关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咨询活动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或健康促进活动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，全年不少于4场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(0.5分)。</w:t>
            </w:r>
          </w:p>
        </w:tc>
        <w:tc>
          <w:tcPr>
            <w:tcW w:w="10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查看服务过程中健康教育开展情况，包括开展健康教育的资料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和数量(包括印刷资料、音视频、网络等多种传播媒介)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播放老年人主题健康教育音像资料，每年不少于3种。</w:t>
            </w:r>
          </w:p>
        </w:tc>
        <w:tc>
          <w:tcPr>
            <w:tcW w:w="18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为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辖区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老年人举办健康教育讲座每季度1次；举办老年健康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相关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咨询活动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或健康促进活动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，全年不少于4场。</w:t>
            </w:r>
          </w:p>
        </w:tc>
        <w:tc>
          <w:tcPr>
            <w:tcW w:w="18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2.1.2健康指导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(4分)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向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辖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区老年服务机构提供老年人医疗健康和康复护理宣教及指导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开展老年人医疗健康和康复护理宣教及指导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,相关资料完整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依据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辖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区老年服务机构提供的老年人名单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抽查机构老年人健康档案，看机构提供的相关指导服务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通过上门巡诊和家庭病床等方式，开展健康教育服务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通过上门巡诊和家庭病床等方式，开展健康教育服务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,开展服务记录完整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查阅机构提供的巡诊和家庭病床服务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时的健康档案、巡诊记录等中的健康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教育指导记录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在流感、肺炎或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传染病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易发期间积极开展老年易感人群相应的健康保护和教育工作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预防传染病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宣传教育工作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；资料完善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；投放药物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,资料完整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在预防传染病过程中对老年人的健康教育、投放药物等工作记录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和照片。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2.2预防保健(20分)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2.2.1健康评估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开展老年综合评估，对国家基本公共卫生提及的5种重点慢性病每年至少进行1次健康评估服务。对纳入失能失智老年人管理项目的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老年人每年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进行至少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失能失智评估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。鼓励开展老年人心理健康评估、老年常见肿瘤、老年人群营养与健康状况监测。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5"/>
                <w:rFonts w:hint="default" w:ascii="宋体" w:hAnsi="宋体" w:eastAsia="宋体"/>
                <w:lang w:bidi="ar"/>
              </w:rPr>
              <w:t>开展高血压、糖尿病、冠心病、脑血管病、慢阻肺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健康评估服务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1.5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京卫老龄〔2022〕９号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文件要求开展失能失智评估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0.9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分)；</w:t>
            </w:r>
          </w:p>
          <w:p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开展老年人心理健康评估、</w:t>
            </w:r>
          </w:p>
          <w:p>
            <w:pPr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开展老年常见肿瘤、老年人群营养与健康状况监测(0.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查阅机构开展各类老年评估汇总资料，抽查健康档案，核对评估记录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、干预记录和转诊推荐等工作记录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(数据来源包括：65岁及以上老年人体检相关疾病粗筛后的统计数据或专业评估数据等)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2.2.2健康管理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为老年人开展家庭医生签约服务，建立健康档案，提供健康管理服务(含中医药健康管理)，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2022年65岁及以上老年人城乡规范健康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率不低于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，2025年达到65%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以上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开展老年人口腔健康检查、口腔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保健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知识宣传。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65岁及以上老年人城乡规范健康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老年人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城乡社区规范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健康管理人数/辖区内65岁及以上常住老年人总数×100%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022年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该率≥62%(2.5分)；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62%，=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完成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率/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62%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*2.5分。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开展老年人口腔健康检查、口腔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保健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知识宣传(0.5分)。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查阅机构65岁以上老年人健康档案，计算服务人数，抽取健康档案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，查询相关工作资料，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必要时电话核实真实性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2.2.3中医药健康管理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老年人中医药健康管理率2022年不低于70%。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老年人中医药健康管理率=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老年人中医药健康管理人数/辖区内65岁及以上常住老年人总数×100%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022年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该率≥70%(3分)。</w:t>
            </w:r>
            <w:r>
              <w:rPr>
                <w:rStyle w:val="1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70%=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完成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率/0.7*3分。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查阅机构65岁以上老年人健康档案，计算服务人数，抽取健康档案，查阅是否根据辨识结果提供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心理调摄、起居调摄、饮食调养、运动调养、穴位调养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5方面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指导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服务，必要时电话核实真实性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2.2.4健康干预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开展对失能、认知障碍进行早期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干预服务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对辖区内接受失能失智评估的65岁及以上老年人根据失能等级分级制定个性化管理方案(0.5分)，按等级分别提供健康教育、综合干预、功能康复、中医服务、护理服务等干预服务，并纳入国家老龄健康信息管理系统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查阅开展失能、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认知障碍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等预防干预的资料。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(有名单、干预措施、工作记录等)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能对重点慢性病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神经退行性疾病、营养和心理等多种健康情况进行评估发现的主要危险因素进行干预；对老年常见肿瘤危险因素进行早期干预。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5"/>
                <w:rFonts w:hint="default"/>
                <w:lang w:bidi="ar"/>
              </w:rPr>
              <w:t>针对高血压、糖尿病、冠心病、脑血管病、慢阻肺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健康评估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发现的主要危险因素有干预措施(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.5分)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针对老年人心理健康评估发现的危险因素有干预措施(0.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分)；针对老年常见肿瘤危险因素有干预措施(0.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分)；针对老年人群营养或健康状况监测危险因素有干预措施(0.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查阅对慢病和常见肿瘤的危险因素的评估和干预的资料，有相关人员的名单，评估表、干预记录等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(可以通过每年度65岁及以上老年人体检筛查统计查阅相关资料)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2.2.5疫苗服务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提供流感疫苗和肺炎疫苗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(含新冠肺炎疫苗)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预防注射服务。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制定针对辖区内65岁及以上常住老年人流感疫苗和肺炎疫苗(含新冠肺炎疫苗)预防注射工作方案(1分)、有接种记录(1分)。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查阅上一年度老年人接种流感、肺炎或新冠疫苗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接种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2.2.6医养结合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(5分)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65岁及以上老年人医养结合服务率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2022年不低于85%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65岁及以上老年人医养结合服务率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=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年内辖区内65岁及以上老年人中接受两次医养结合服务的人数/辖区内65岁及以上老年人总数×100%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。(接受服务包括体检、就诊、转诊、参加健康教育活动等多种形式)；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022年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该率≥85%(2.5分)；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85%，=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完成率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85%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*2.5分。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查阅年内辖区内接受医养结合服务的65岁及以上老年人人数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(附名单，在电脑能查询)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占辖区内老年人总数的比例。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查阅工作记录(包括体检表、门诊就诊或转诊记录)、参加健康教育等活动的签到表等。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65岁以上失能老年人健康服务率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2022年不低于85%。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65岁及以上失能老年人健康服务率=年内辖区内接受健康服务的65岁及以上失能老年人人数/辖区内接受健康评估的65岁及以上失能老年人人数×100%。)；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022年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该率≥85%(2.5分)；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&lt;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85%，=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完成率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  <w:lang w:val="en-US" w:eastAsia="zh-CN"/>
              </w:rPr>
              <w:t>85%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*2.5分。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查阅年内辖区内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  <w:t>接受失能健康评估和失能健康服务的老年人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人数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(附名单)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查阅工作记录(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  <w:t>如家床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记录</w:t>
            </w:r>
            <w:r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  <w:t>上门服务记录等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2.3疾病诊疗(17分)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2.3.1疾病诊疗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(3分)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规范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管理临床诊疗服务，全科诊治病种数≥60种、中医诊疗病种数≥50种。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napToGrid w:val="0"/>
              <w:spacing w:before="0" w:beforeAutospacing="0" w:after="0" w:afterAutospacing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临床诊疗病种名称符合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ICD11管理要求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(1分)；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全科诊治病种数≥60种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(1分)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、中医诊疗病种数≥50种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(1分)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若不足，则全科诊治病种数等比例折算=实际全科诊治病种数/60*1分；中医等比例折算=实际中医诊治病种数/60*1分。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7"/>
              <w:snapToGrid w:val="0"/>
              <w:spacing w:before="0" w:beforeAutospacing="0" w:after="0" w:afterAutospacing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查阅机构上一年度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相关统计报表。疾病病种符合相关规范要求。(按照ICD11附西医、中医病种名称)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2.3.2慢病诊疗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(5分)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为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高血压、糖尿病、冠心病、脑卒中、慢性阻塞性肺病、骨关节病、消化系统疾病和失眠等常见慢性病症提供诊疗服务。诊疗服务记录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(含中医) 符合病历书写规范。每份病历：包括主诉和现病史、诊断、治疗、健康指导。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常见慢性病诊疗服务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规范诊疗率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分)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=抽查诊疗服务记录规范、完整数/抽查记录总数×100%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抽查5-10份常见慢性病的诊疗记录(包括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健康档案或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门诊病历、用药、健康指导等)。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2.3.3中医药诊疗服务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通过体质辨识仪、中药颗粒配方等智能化设备开展中医药健康服务记录。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有中医诊断等适老智能化设备(1分)，可提供中药颗粒配方或代煎服务(1分)。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现场查看相关设备和服务记录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5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2.3.4智能助老诊疗服务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机构内有人工为老年人提供智能化助老如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防疫筛查、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健康小屋、挂号、打印化验单、缴费等服务。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有智能化服务设备(1分)；有志愿者或社工提供辅助服务(1分)。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现场查看相关设备和服务记录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2.3.5院前急救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有规范的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院前急救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组织开展针对老年人的院前急救培训，每年至少1次。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培训对象以社区工作者为主，包括社区工作人员、志愿者、企事业单位、警务工作者、保安等。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院前急救记录、处置规范(0.5分)。</w:t>
            </w:r>
          </w:p>
          <w:p>
            <w:pPr>
              <w:snapToGrid w:val="0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开展院前急救培训，培训资料规范(0.5分)。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现场查看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院前急救记录及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培训资料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gree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2.3.6家庭病床服务(4分)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Hans"/>
              </w:rPr>
              <w:t>规范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开展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家庭病床服务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有规范的家庭病床相关规章制度、服务流程(0.5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)；提供家庭病床服务的医、护人员，具备执业医师和注册护士资格，并通过社区岗位培训(0.5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)；机构定期对家庭病床工作进行医疗服务质量管理(1分)；家庭病床的建床、查床、会诊转诊、撤床过程规范，医疗和护理病历书写规范(2分)。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相关规则制定、工作流程、人员资质。查阅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开展家庭病床服务数量和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健康档案、家庭病床病历或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工作记录(按照北京市文件要求落实)。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2.4康复护理(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分)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2.4.1康复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制定适合本机构的康复医学科相关工作制度、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预防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二次伤害预案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有国家规定或认可的康复医学科诊疗规范和标准操作规范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有康复医学科的工作制度(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.5分)，有康复医学科诊疗规范和标准操作规范(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.25分)，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与本机构提供服务内容相符合的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预防二次伤害的预案(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现场查阅工作制度、服务规范、预防二次伤害预案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2.4.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人员(1分)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机构从事康复治疗的医务人员定期参加上级部门康复专业培训，定期开展康复知识健康教育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机构从事康复治疗的医师、治疗师每年至少参加一次医联体或其他上级部门组织的康复培训(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.5分)，每年至少开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两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康复相关知识健康教育(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现场查阅培训记录，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相关的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健康教育资料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级宣传记录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2.4.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服务(1分)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能够提供康复理疗服务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包括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且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不限于以下服务：红外线、低频脉冲电、中频脉冲电、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利用中医药、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超短波、微波等。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包括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且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不限于以下服务：红外线(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.2分)、低频脉冲电、中频脉冲电(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利用中医药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超短波(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.2分)、微波(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.2分)等。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现场查阅相关设备及工作记录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必要时抽查康复病历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2.4.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评定(2分)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根据康复患者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(除外残疾康复)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的疾病诊断，进行功能评估初期评定、中期评定(可多次)、末次评定 (原则上每月评定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1次，至少3次)。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制定以功能改善为中心的康复计划。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有康复评定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(1分)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；有康复计划</w:t>
            </w:r>
            <w:r>
              <w:rPr>
                <w:rStyle w:val="14"/>
                <w:rFonts w:hint="eastAsia" w:cs="宋体"/>
                <w:color w:val="000000"/>
                <w:kern w:val="0"/>
                <w:sz w:val="22"/>
                <w:szCs w:val="22"/>
              </w:rPr>
              <w:t>(1分)。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资料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抽查2份康复病历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2.4.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康复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转诊(1分)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与医联体医院建立双向转诊机制，定期有专科医生出诊指导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与二三级医院签订医疗体协议(0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.3分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)，为有需求的康复患者提供绿色转诊通道及转介服务(0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.3分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)，康复医学专科医生定期出诊或进行授课(0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.4分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2.5长期照护(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分)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2.5.1照护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管理(2分)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按照相关规范要求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制定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适合本机构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医疗护理相关制度和服务规范，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制定本机构可提供的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失能医疗护理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清单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，并将失能医疗护理工作纳入机构绩效考核。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有长期照护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的工作制度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及延伸服务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明确的医疗护理服务清单(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.2分)，机构定期对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失能医疗护理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工作进行考核(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.3分)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现场查阅相关制度、服务规范、绩效考核指标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照护服务清单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抽查2份健康档案或服务记录。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2.5.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照护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服务(6分)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根据照护计划、服务清单等为失能、半失能老年人提供医疗护理服务，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开展照护服务种类及服务内容如管道管理、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管路护理、创面护理、口腔护理、精神护理、排异护理、基础护理和康复护理等。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机构对有需求的失能、半失能老年人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制定医疗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护理服务计划(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分)，签订知情同意书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包括老年人和监护人有关伦理、人文和与医务人员照护人员的配合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分)，提供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失能医疗护理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(4分)。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护理服务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(治疗)记录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数量、服务提供种类、服务内容规范性。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8"/>
              <w:snapToGrid w:val="0"/>
              <w:ind w:firstLineChars="0"/>
              <w:rPr>
                <w:rStyle w:val="14"/>
                <w:rFonts w:ascii="宋体" w:hAnsi="宋体" w:eastAsia="宋体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2.6安宁疗护(2分)</w:t>
            </w:r>
          </w:p>
        </w:tc>
        <w:tc>
          <w:tcPr>
            <w:tcW w:w="3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2.6.1培训、宣传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参加上级部门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开展的安宁疗护相关培训，开展生命观宣传活动。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从事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安宁疗护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人员，每年至少参加一次区级以上安宁疗护中心或其他机构组织的培训(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.4分)，世界安宁疗护日开展生命观义诊宣传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通过公众号、服务号、宣传栏等方式进行生命观宣传(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.6分)。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培训、活动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记录资料。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5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2.6.2服务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开展(1分)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能开展症状控制、舒适照护、人文关怀、转诊服务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能根据居民需求提供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生活评估、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症状控制、舒适照护、人文关怀、转诊服务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、治疗计划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等(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.5分)，并按照相关服务规范要求签订知情同意书、评估表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健康档案、诊疗记录、护理病历、各种协议、工作照片、家庭会议记录、心理咨询量表等记录(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.5分)。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现场查阅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开展相关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记录。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3.效果指标(10分)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3.1居民满意度(6分)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3.1.1接受服务的居民、患者满意度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(6分)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接受过老年健康服务的老年患者或家属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的获得感、安全感和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满意度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现场对接受过服务的老年人进行满意度调查，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内容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包括门急诊、住院、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体检、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家庭病床、长期照护、安宁疗护等。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(6分)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现场调查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。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3.2社会满意度(4分)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3.2.1社会满意度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(4分)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街乡办事处、村(居)委会、辖区老年服务机构对社区卫生服务中心给予的满意度评价</w:t>
            </w:r>
          </w:p>
        </w:tc>
        <w:tc>
          <w:tcPr>
            <w:tcW w:w="1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现场对街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(镇)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办事处、村(居)委会、辖区老年服务机构进行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服务项目</w:t>
            </w: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满意度调查。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Style w:val="14"/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分)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14"/>
                <w:rFonts w:ascii="宋体" w:hAnsi="宋体" w:eastAsia="宋体" w:cs="宋体"/>
                <w:color w:val="000000"/>
                <w:sz w:val="22"/>
                <w:szCs w:val="22"/>
              </w:rPr>
              <w:t>现场调查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22"/>
                <w:szCs w:val="22"/>
              </w:rPr>
              <w:t>。</w:t>
            </w:r>
          </w:p>
        </w:tc>
      </w:tr>
    </w:tbl>
    <w:p>
      <w:r>
        <w:rPr>
          <w:rFonts w:hint="eastAsia"/>
          <w:lang w:val="en-US" w:eastAsia="zh-CN"/>
        </w:rPr>
        <w:t>备注：2022年涉及的老年健康服务率均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根据评审时间按工作进度计算得分，包括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</w:rPr>
        <w:t>65岁及以上老年人城乡规范健康</w:t>
      </w:r>
      <w:r>
        <w:rPr>
          <w:rStyle w:val="14"/>
          <w:rFonts w:ascii="宋体" w:hAnsi="宋体" w:eastAsia="宋体" w:cs="宋体"/>
          <w:color w:val="000000"/>
          <w:kern w:val="0"/>
          <w:sz w:val="22"/>
          <w:szCs w:val="22"/>
        </w:rPr>
        <w:t>管理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</w:rPr>
        <w:t>服务</w:t>
      </w:r>
      <w:r>
        <w:rPr>
          <w:rStyle w:val="14"/>
          <w:rFonts w:ascii="宋体" w:hAnsi="宋体" w:eastAsia="宋体" w:cs="宋体"/>
          <w:color w:val="000000"/>
          <w:kern w:val="0"/>
          <w:sz w:val="22"/>
          <w:szCs w:val="22"/>
        </w:rPr>
        <w:t>率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、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</w:rPr>
        <w:t>老年人中医药健康管理率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、</w:t>
      </w:r>
      <w:r>
        <w:rPr>
          <w:rStyle w:val="14"/>
          <w:rFonts w:cs="宋体"/>
          <w:color w:val="000000"/>
          <w:kern w:val="0"/>
          <w:sz w:val="22"/>
          <w:szCs w:val="22"/>
        </w:rPr>
        <w:t>65岁及以上老年人医养结合服务率</w:t>
      </w:r>
      <w:r>
        <w:rPr>
          <w:rStyle w:val="14"/>
          <w:rFonts w:hint="eastAsia" w:cs="宋体"/>
          <w:color w:val="000000"/>
          <w:kern w:val="0"/>
          <w:sz w:val="22"/>
          <w:szCs w:val="22"/>
          <w:lang w:val="en-US" w:eastAsia="zh-CN"/>
        </w:rPr>
        <w:t>和</w:t>
      </w:r>
      <w:r>
        <w:rPr>
          <w:rStyle w:val="14"/>
          <w:rFonts w:hint="eastAsia" w:cs="宋体"/>
          <w:color w:val="000000"/>
          <w:kern w:val="0"/>
          <w:sz w:val="22"/>
          <w:szCs w:val="22"/>
        </w:rPr>
        <w:t>65岁及以上失能老年人健康服务率</w:t>
      </w:r>
      <w:r>
        <w:rPr>
          <w:rStyle w:val="14"/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2F101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character" w:customStyle="1" w:styleId="14">
    <w:name w:val="NormalCharacter"/>
    <w:qFormat/>
    <w:uiPriority w:val="0"/>
    <w:rPr>
      <w:rFonts w:ascii="宋体" w:hAnsi="宋体"/>
      <w:sz w:val="32"/>
      <w:szCs w:val="32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 Char"/>
    <w:basedOn w:val="1"/>
    <w:uiPriority w:val="0"/>
    <w:rPr>
      <w:rFonts w:ascii="宋体" w:hAnsi="宋体" w:cs="Courier New"/>
      <w:sz w:val="32"/>
      <w:szCs w:val="32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paragraph" w:customStyle="1" w:styleId="18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2022-05-31T09:02:15Z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