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现代产房建设评估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标准（试行）</w:t>
      </w:r>
      <w:bookmarkEnd w:id="0"/>
    </w:p>
    <w:tbl>
      <w:tblPr>
        <w:tblStyle w:val="3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282"/>
        <w:gridCol w:w="6188"/>
        <w:gridCol w:w="83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ESI黑体-GB18030" w:hAnsi="CESI黑体-GB18030" w:eastAsia="CESI黑体-GB18030" w:cs="CESI黑体-GB18030"/>
                <w:color w:val="000000"/>
                <w:sz w:val="28"/>
                <w:szCs w:val="28"/>
              </w:rPr>
            </w:pPr>
            <w:r>
              <w:rPr>
                <w:rFonts w:hint="eastAsia" w:ascii="CESI黑体-GB18030" w:hAnsi="CESI黑体-GB18030" w:eastAsia="CESI黑体-GB18030" w:cs="CESI黑体-GB18030"/>
                <w:color w:val="000000"/>
                <w:kern w:val="0"/>
                <w:sz w:val="28"/>
                <w:szCs w:val="28"/>
                <w:lang w:bidi="ar"/>
              </w:rPr>
              <w:t>项目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ESI黑体-GB18030" w:hAnsi="CESI黑体-GB18030" w:eastAsia="CESI黑体-GB18030" w:cs="CESI黑体-GB1803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CESI黑体-GB18030" w:hAnsi="CESI黑体-GB18030" w:eastAsia="CESI黑体-GB18030" w:cs="CESI黑体-GB18030"/>
                <w:color w:val="000000"/>
                <w:kern w:val="0"/>
                <w:sz w:val="28"/>
                <w:szCs w:val="28"/>
                <w:lang w:bidi="ar"/>
              </w:rPr>
              <w:t>评估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ESI黑体-GB18030" w:hAnsi="CESI黑体-GB18030" w:eastAsia="CESI黑体-GB18030" w:cs="CESI黑体-GB18030"/>
                <w:color w:val="000000"/>
                <w:sz w:val="28"/>
                <w:szCs w:val="28"/>
              </w:rPr>
            </w:pPr>
            <w:r>
              <w:rPr>
                <w:rFonts w:hint="eastAsia" w:ascii="CESI黑体-GB18030" w:hAnsi="CESI黑体-GB18030" w:eastAsia="CESI黑体-GB18030" w:cs="CESI黑体-GB18030"/>
                <w:color w:val="000000"/>
                <w:kern w:val="0"/>
                <w:sz w:val="28"/>
                <w:szCs w:val="28"/>
                <w:lang w:bidi="ar"/>
              </w:rPr>
              <w:t>标准</w:t>
            </w:r>
          </w:p>
        </w:tc>
        <w:tc>
          <w:tcPr>
            <w:tcW w:w="61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ESI黑体-GB18030" w:hAnsi="CESI黑体-GB18030" w:eastAsia="CESI黑体-GB18030" w:cs="CESI黑体-GB18030"/>
                <w:color w:val="000000"/>
                <w:sz w:val="28"/>
                <w:szCs w:val="28"/>
              </w:rPr>
            </w:pPr>
            <w:r>
              <w:rPr>
                <w:rFonts w:hint="eastAsia" w:ascii="CESI黑体-GB18030" w:hAnsi="CESI黑体-GB18030" w:eastAsia="CESI黑体-GB18030" w:cs="CESI黑体-GB18030"/>
                <w:color w:val="000000"/>
                <w:kern w:val="0"/>
                <w:sz w:val="28"/>
                <w:szCs w:val="28"/>
                <w:lang w:bidi="ar"/>
              </w:rPr>
              <w:t>评估内容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ESI黑体-GB18030" w:hAnsi="CESI黑体-GB18030" w:eastAsia="CESI黑体-GB18030" w:cs="CESI黑体-GB18030"/>
                <w:color w:val="000000"/>
                <w:sz w:val="28"/>
                <w:szCs w:val="28"/>
              </w:rPr>
            </w:pPr>
            <w:r>
              <w:rPr>
                <w:rFonts w:hint="eastAsia" w:ascii="CESI黑体-GB18030" w:hAnsi="CESI黑体-GB18030" w:eastAsia="CESI黑体-GB18030" w:cs="CESI黑体-GB18030"/>
                <w:color w:val="000000"/>
                <w:kern w:val="0"/>
                <w:sz w:val="28"/>
                <w:szCs w:val="28"/>
                <w:lang w:bidi="ar"/>
              </w:rPr>
              <w:t>分值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31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设施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设备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（30</w:t>
            </w: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分）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产房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面积</w:t>
            </w:r>
          </w:p>
        </w:tc>
        <w:tc>
          <w:tcPr>
            <w:tcW w:w="618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单床分娩室面积≥25平方米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产房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手术室面积</w:t>
            </w:r>
          </w:p>
        </w:tc>
        <w:tc>
          <w:tcPr>
            <w:tcW w:w="618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产房区域至少具备一间即刻剖宫产手术室，面积≥40平方米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设备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配备</w:t>
            </w:r>
          </w:p>
        </w:tc>
        <w:tc>
          <w:tcPr>
            <w:tcW w:w="618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孕产妇血液动力学监护设备、血气分析仪，保证循环-通气-氧合三大基本监护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18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中央监控系统，胎心宫缩监护记录设备，满足高危孕产妇实时监护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18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bidi="ar"/>
              </w:rPr>
              <w:t>产房手术室(配备无影灯、手术床、麻醉机、麻醉工作台 / 车、新生儿抢救单元及相关设备等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bidi="ar"/>
              </w:rPr>
              <w:t>不低于常规手术室配置)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18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  <w:t>一体化产床设备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18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移动超声设备（包含超声心脏探头）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18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器械包：常规产钳和胎吸器械包、剖宫产器械包、子宫全切器械包、产包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18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分娩镇痛设备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困难气道车、分娩镇痛车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非药物镇痛设备：按摩工具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导乐车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分娩凳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导乐球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音乐播放设备等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18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bidi="ar"/>
              </w:rPr>
              <w:t>产后大出血抢救设备：管道车(周围静脉、中心静脉、肺动脉导管等)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bidi="ar"/>
              </w:rPr>
              <w:t>加压加热输血设备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bidi="ar"/>
              </w:rPr>
              <w:t>加热毯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bidi="ar"/>
              </w:rPr>
              <w:t>血库存储≥2单位各型悬浮红细胞及血浆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18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bidi="ar"/>
              </w:rPr>
              <w:t>新生儿抢救设备：新生儿复苏台、常规处理包、新生儿复苏包、负压吸引装置、空气氧气混合装置、新生儿胸腔闭式引流装置等，有条件者可增加新生儿呼吸机、心电监护仪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18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产房信息交换系统及多学科传呼通讯系统，保证3-5分钟呼叫到位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新生儿病室</w:t>
            </w:r>
          </w:p>
        </w:tc>
        <w:tc>
          <w:tcPr>
            <w:tcW w:w="618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符合国家《新生儿病室建设与管理指南（试行）》要求，具备规范化、标准化的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新生儿重症监护病房，应急预案和处置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转诊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流程完善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一体化区域</w:t>
            </w:r>
          </w:p>
        </w:tc>
        <w:tc>
          <w:tcPr>
            <w:tcW w:w="618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产房、手术室、新生儿重症监护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病房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置于同一楼层区域或转运时间≤2分钟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931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人员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配备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（20分）</w:t>
            </w:r>
          </w:p>
        </w:tc>
        <w:tc>
          <w:tcPr>
            <w:tcW w:w="1282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医护人员配备</w:t>
            </w:r>
          </w:p>
        </w:tc>
        <w:tc>
          <w:tcPr>
            <w:tcW w:w="618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产科医生24小时进驻产房/值班，固定产科医师二级助产机构不少于8人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三级助产机构不少于10人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二级助产机构年分娩量超过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800及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三级助产机构年分娩量超过1000的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相应增加人员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18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助产士24小时进驻产房，产房固定助产士二级助产机构不少于6人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三级助产机构不少于8人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二级助产机构年分娩量超过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800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三级助产机构年分娩量超过1000的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相应增加人员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18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母婴同室护床比≥0.6:1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18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麻醉科医生24小时进驻产房/值班，抢救时3-5分钟内到场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18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新生儿科医生24小时医院值班，高危孕产妇分娩时提前到场，紧急抢救时3-5分钟内到场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18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多学科人员在夜间、周末及节假日备班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，抢救时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30分钟内到场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931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人文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关怀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30</w:t>
            </w: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分）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助产咨询服务</w:t>
            </w:r>
          </w:p>
        </w:tc>
        <w:tc>
          <w:tcPr>
            <w:tcW w:w="618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提供助产咨询服务，于孕晚期向孕妇宣教待产及分娩过程中可能遇到的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情况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，解答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孕妇的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问题和疑惑，进行心理疏导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麻醉咨询服务</w:t>
            </w:r>
          </w:p>
        </w:tc>
        <w:tc>
          <w:tcPr>
            <w:tcW w:w="618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提供麻醉科门诊服务，孕晚期评估孕妇情况，向孕妇宣教分娩镇痛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剖宫产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麻醉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的适应证、禁忌证、操作过程和注意事项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营养咨询服务</w:t>
            </w:r>
          </w:p>
        </w:tc>
        <w:tc>
          <w:tcPr>
            <w:tcW w:w="618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提供孕期营养门诊服务，产前进行营养指导和体重控制，待产过程中给予孕产妇适当饮食指导，进行合理营养配餐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分娩镇痛服务</w:t>
            </w:r>
          </w:p>
        </w:tc>
        <w:tc>
          <w:tcPr>
            <w:tcW w:w="618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按摩、呼吸调节、自由体位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催眠、音乐疗法等非药物分娩镇痛应用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18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椎管内分娩镇痛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分娩陪待产</w:t>
            </w:r>
          </w:p>
        </w:tc>
        <w:tc>
          <w:tcPr>
            <w:tcW w:w="618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具备分娩陪待产条件，有助产士全程陪伴，有辅助分娩设备等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产房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环境</w:t>
            </w:r>
          </w:p>
        </w:tc>
        <w:tc>
          <w:tcPr>
            <w:tcW w:w="618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温馨舒适的产房环境，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具备单床分娩室（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内设卫生间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，保护孕产妇隐私，缓解孕产妇的陌生感和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紧张情绪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床旁照护系统</w:t>
            </w:r>
          </w:p>
        </w:tc>
        <w:tc>
          <w:tcPr>
            <w:tcW w:w="618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具备床旁照护系统，使孕产妇在待产过程中享受到信息化、专业化支撑的科普宣教一体化服务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31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质控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指标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(2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分）</w:t>
            </w:r>
          </w:p>
        </w:tc>
        <w:tc>
          <w:tcPr>
            <w:tcW w:w="747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剖宫产率低于全市平均值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747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初产剖宫产率低于全市平均值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747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  <w:t>椎管内分娩镇痛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率≥40%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747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会阴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  <w:t>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切率≤20%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747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足月新生儿窒息率低于全市平均值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747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严重产后出血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  <w:t>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低于全市平均值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747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  <w:t>产后或术后非计划再次手术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率低于全市平均值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401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合  计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CESI黑体-GB1803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75BB1"/>
    <w:rsid w:val="00BB1AC3"/>
    <w:rsid w:val="01076A0D"/>
    <w:rsid w:val="014974F4"/>
    <w:rsid w:val="01D861DA"/>
    <w:rsid w:val="02C02722"/>
    <w:rsid w:val="03351BD3"/>
    <w:rsid w:val="044A0C68"/>
    <w:rsid w:val="04960995"/>
    <w:rsid w:val="05896C23"/>
    <w:rsid w:val="062E7227"/>
    <w:rsid w:val="06336DDC"/>
    <w:rsid w:val="065C332B"/>
    <w:rsid w:val="068C11C4"/>
    <w:rsid w:val="06977505"/>
    <w:rsid w:val="06993E7B"/>
    <w:rsid w:val="072E2612"/>
    <w:rsid w:val="076676A4"/>
    <w:rsid w:val="07980477"/>
    <w:rsid w:val="080F08D8"/>
    <w:rsid w:val="088673B9"/>
    <w:rsid w:val="08A42CF4"/>
    <w:rsid w:val="08CF2AB1"/>
    <w:rsid w:val="08EB2D4B"/>
    <w:rsid w:val="092B04EE"/>
    <w:rsid w:val="0968078F"/>
    <w:rsid w:val="097F6E86"/>
    <w:rsid w:val="099E4BE6"/>
    <w:rsid w:val="09B15E18"/>
    <w:rsid w:val="0A0E77C7"/>
    <w:rsid w:val="0A2A20BB"/>
    <w:rsid w:val="0AB06CC8"/>
    <w:rsid w:val="0ACE0464"/>
    <w:rsid w:val="0AF3175C"/>
    <w:rsid w:val="0B457414"/>
    <w:rsid w:val="0B563D4B"/>
    <w:rsid w:val="0BA0192B"/>
    <w:rsid w:val="0C2A514E"/>
    <w:rsid w:val="0CE51A54"/>
    <w:rsid w:val="0D5C56CA"/>
    <w:rsid w:val="0D95172A"/>
    <w:rsid w:val="0D951C50"/>
    <w:rsid w:val="0DAA55C8"/>
    <w:rsid w:val="0E4B7DEA"/>
    <w:rsid w:val="0E88465C"/>
    <w:rsid w:val="0EA97E09"/>
    <w:rsid w:val="0ECB2D70"/>
    <w:rsid w:val="0ED675FD"/>
    <w:rsid w:val="0EEA3077"/>
    <w:rsid w:val="0EFE331A"/>
    <w:rsid w:val="0F2C7218"/>
    <w:rsid w:val="0F3A2255"/>
    <w:rsid w:val="0F431E9D"/>
    <w:rsid w:val="0F5B67A8"/>
    <w:rsid w:val="0FFB743D"/>
    <w:rsid w:val="10110356"/>
    <w:rsid w:val="10167573"/>
    <w:rsid w:val="102F3F33"/>
    <w:rsid w:val="10DB12EB"/>
    <w:rsid w:val="10FE1C80"/>
    <w:rsid w:val="11321245"/>
    <w:rsid w:val="113A003D"/>
    <w:rsid w:val="11576171"/>
    <w:rsid w:val="11A033A3"/>
    <w:rsid w:val="11B048ED"/>
    <w:rsid w:val="11F5236B"/>
    <w:rsid w:val="11F9487A"/>
    <w:rsid w:val="12837D99"/>
    <w:rsid w:val="12A360E6"/>
    <w:rsid w:val="12BF544B"/>
    <w:rsid w:val="12CC4E90"/>
    <w:rsid w:val="13070788"/>
    <w:rsid w:val="1319097B"/>
    <w:rsid w:val="133616E2"/>
    <w:rsid w:val="13475AB7"/>
    <w:rsid w:val="139B649A"/>
    <w:rsid w:val="13AC20DD"/>
    <w:rsid w:val="13B02E76"/>
    <w:rsid w:val="13E65B46"/>
    <w:rsid w:val="140C3B0E"/>
    <w:rsid w:val="1480214E"/>
    <w:rsid w:val="15141074"/>
    <w:rsid w:val="152E5B6B"/>
    <w:rsid w:val="15485925"/>
    <w:rsid w:val="15833B55"/>
    <w:rsid w:val="15E1296A"/>
    <w:rsid w:val="15E536DF"/>
    <w:rsid w:val="15EB4E6A"/>
    <w:rsid w:val="15EC088E"/>
    <w:rsid w:val="161D7A6F"/>
    <w:rsid w:val="165D4FD4"/>
    <w:rsid w:val="16D472C8"/>
    <w:rsid w:val="16E92923"/>
    <w:rsid w:val="17E12034"/>
    <w:rsid w:val="182919BE"/>
    <w:rsid w:val="182E4D70"/>
    <w:rsid w:val="184748A3"/>
    <w:rsid w:val="184749DE"/>
    <w:rsid w:val="185E23D8"/>
    <w:rsid w:val="18625E31"/>
    <w:rsid w:val="18BF5D6F"/>
    <w:rsid w:val="18EB7689"/>
    <w:rsid w:val="19123497"/>
    <w:rsid w:val="1914613E"/>
    <w:rsid w:val="19246E1C"/>
    <w:rsid w:val="19266802"/>
    <w:rsid w:val="194071B0"/>
    <w:rsid w:val="19C61352"/>
    <w:rsid w:val="1A047DBD"/>
    <w:rsid w:val="1A087739"/>
    <w:rsid w:val="1A485DE9"/>
    <w:rsid w:val="1A9C7004"/>
    <w:rsid w:val="1A9F3105"/>
    <w:rsid w:val="1A9F6F05"/>
    <w:rsid w:val="1AE531A4"/>
    <w:rsid w:val="1B0B2485"/>
    <w:rsid w:val="1B4377B5"/>
    <w:rsid w:val="1B755320"/>
    <w:rsid w:val="1B7B08D1"/>
    <w:rsid w:val="1BA73AA4"/>
    <w:rsid w:val="1BB73749"/>
    <w:rsid w:val="1BD12C96"/>
    <w:rsid w:val="1C2D7273"/>
    <w:rsid w:val="1CC66615"/>
    <w:rsid w:val="1CDC6D15"/>
    <w:rsid w:val="1D0906BB"/>
    <w:rsid w:val="1D4C33F0"/>
    <w:rsid w:val="1D547FB4"/>
    <w:rsid w:val="1D7E1E72"/>
    <w:rsid w:val="1D9D1ED9"/>
    <w:rsid w:val="1DCB7E60"/>
    <w:rsid w:val="1DD40918"/>
    <w:rsid w:val="1DF84FC9"/>
    <w:rsid w:val="1E805D69"/>
    <w:rsid w:val="1EDC165B"/>
    <w:rsid w:val="1EF54C87"/>
    <w:rsid w:val="1F870D20"/>
    <w:rsid w:val="1F876ED8"/>
    <w:rsid w:val="1F993631"/>
    <w:rsid w:val="1FB75AF3"/>
    <w:rsid w:val="1FDC05B2"/>
    <w:rsid w:val="200D117F"/>
    <w:rsid w:val="2043553F"/>
    <w:rsid w:val="20727DD8"/>
    <w:rsid w:val="207E5832"/>
    <w:rsid w:val="20A609F4"/>
    <w:rsid w:val="20D82189"/>
    <w:rsid w:val="20DB22C8"/>
    <w:rsid w:val="20EB4A12"/>
    <w:rsid w:val="20FB1FD1"/>
    <w:rsid w:val="21271B30"/>
    <w:rsid w:val="21817DC8"/>
    <w:rsid w:val="21A17A20"/>
    <w:rsid w:val="21BF1549"/>
    <w:rsid w:val="21CC3338"/>
    <w:rsid w:val="22A7377A"/>
    <w:rsid w:val="22C33482"/>
    <w:rsid w:val="234B61D6"/>
    <w:rsid w:val="236D7992"/>
    <w:rsid w:val="237E0413"/>
    <w:rsid w:val="23F54DA7"/>
    <w:rsid w:val="240045EA"/>
    <w:rsid w:val="24A574F5"/>
    <w:rsid w:val="24BF6BA5"/>
    <w:rsid w:val="2535425C"/>
    <w:rsid w:val="25B05230"/>
    <w:rsid w:val="25C4174D"/>
    <w:rsid w:val="26167F07"/>
    <w:rsid w:val="26356B63"/>
    <w:rsid w:val="266E50FA"/>
    <w:rsid w:val="26856269"/>
    <w:rsid w:val="273B55E0"/>
    <w:rsid w:val="27745192"/>
    <w:rsid w:val="277827B9"/>
    <w:rsid w:val="278C7E2E"/>
    <w:rsid w:val="27CF13DE"/>
    <w:rsid w:val="27E40FB6"/>
    <w:rsid w:val="28110AD2"/>
    <w:rsid w:val="28304927"/>
    <w:rsid w:val="28676094"/>
    <w:rsid w:val="28701566"/>
    <w:rsid w:val="289D7C2B"/>
    <w:rsid w:val="28BC65D9"/>
    <w:rsid w:val="290770C2"/>
    <w:rsid w:val="292D05BD"/>
    <w:rsid w:val="29342097"/>
    <w:rsid w:val="29906BC3"/>
    <w:rsid w:val="29ED3F5E"/>
    <w:rsid w:val="29FC4EF2"/>
    <w:rsid w:val="2A4B1981"/>
    <w:rsid w:val="2A5779F1"/>
    <w:rsid w:val="2A692C9D"/>
    <w:rsid w:val="2A947237"/>
    <w:rsid w:val="2AC73565"/>
    <w:rsid w:val="2AEE256A"/>
    <w:rsid w:val="2AF12A73"/>
    <w:rsid w:val="2B422345"/>
    <w:rsid w:val="2B7B5F64"/>
    <w:rsid w:val="2C185B73"/>
    <w:rsid w:val="2C1E39D0"/>
    <w:rsid w:val="2C4A05F5"/>
    <w:rsid w:val="2C861112"/>
    <w:rsid w:val="2CC459E9"/>
    <w:rsid w:val="2D0C6947"/>
    <w:rsid w:val="2D1812D8"/>
    <w:rsid w:val="2D392E5B"/>
    <w:rsid w:val="2D414644"/>
    <w:rsid w:val="2D8178FE"/>
    <w:rsid w:val="2D8A5D4E"/>
    <w:rsid w:val="2DB903F1"/>
    <w:rsid w:val="2DC440B0"/>
    <w:rsid w:val="2DFF25FF"/>
    <w:rsid w:val="2E1E4B8A"/>
    <w:rsid w:val="2E745722"/>
    <w:rsid w:val="2E874FFD"/>
    <w:rsid w:val="2EEE6D81"/>
    <w:rsid w:val="30120C49"/>
    <w:rsid w:val="30BB3E79"/>
    <w:rsid w:val="310C0A45"/>
    <w:rsid w:val="3150741C"/>
    <w:rsid w:val="31723A53"/>
    <w:rsid w:val="3195440B"/>
    <w:rsid w:val="31991FA4"/>
    <w:rsid w:val="31E25AE6"/>
    <w:rsid w:val="31E64DDE"/>
    <w:rsid w:val="32A1202B"/>
    <w:rsid w:val="32A96D68"/>
    <w:rsid w:val="32CB6F15"/>
    <w:rsid w:val="33133268"/>
    <w:rsid w:val="33133310"/>
    <w:rsid w:val="333351A3"/>
    <w:rsid w:val="334F3322"/>
    <w:rsid w:val="340E28C1"/>
    <w:rsid w:val="34337244"/>
    <w:rsid w:val="346554E4"/>
    <w:rsid w:val="355A7B62"/>
    <w:rsid w:val="358A6FD3"/>
    <w:rsid w:val="35A848B0"/>
    <w:rsid w:val="35B9082E"/>
    <w:rsid w:val="360105D2"/>
    <w:rsid w:val="363722C1"/>
    <w:rsid w:val="368E39D5"/>
    <w:rsid w:val="36E0445C"/>
    <w:rsid w:val="36FD70AF"/>
    <w:rsid w:val="37150A7E"/>
    <w:rsid w:val="372F3FC5"/>
    <w:rsid w:val="37C606D6"/>
    <w:rsid w:val="381E5579"/>
    <w:rsid w:val="382728C2"/>
    <w:rsid w:val="38396F83"/>
    <w:rsid w:val="386B7C02"/>
    <w:rsid w:val="388F4070"/>
    <w:rsid w:val="38B717C0"/>
    <w:rsid w:val="39040907"/>
    <w:rsid w:val="393D6FEF"/>
    <w:rsid w:val="39C1092A"/>
    <w:rsid w:val="3A605239"/>
    <w:rsid w:val="3A687C56"/>
    <w:rsid w:val="3AA02DFD"/>
    <w:rsid w:val="3AD37DB6"/>
    <w:rsid w:val="3B765C41"/>
    <w:rsid w:val="3B9065FA"/>
    <w:rsid w:val="3BF9617C"/>
    <w:rsid w:val="3C6F63EF"/>
    <w:rsid w:val="3C9F107E"/>
    <w:rsid w:val="3CC95B77"/>
    <w:rsid w:val="3CCC5936"/>
    <w:rsid w:val="3CDD271B"/>
    <w:rsid w:val="3D816D83"/>
    <w:rsid w:val="3DDB17DC"/>
    <w:rsid w:val="3DF32B1F"/>
    <w:rsid w:val="3E585A05"/>
    <w:rsid w:val="3E5F79C4"/>
    <w:rsid w:val="3E723F66"/>
    <w:rsid w:val="3E797888"/>
    <w:rsid w:val="3E7A2CE2"/>
    <w:rsid w:val="3E9736BC"/>
    <w:rsid w:val="3EEA67A9"/>
    <w:rsid w:val="3F1F2ECA"/>
    <w:rsid w:val="3F3B584C"/>
    <w:rsid w:val="3F6748E6"/>
    <w:rsid w:val="3FDB44FE"/>
    <w:rsid w:val="3FDF52CD"/>
    <w:rsid w:val="40151A0C"/>
    <w:rsid w:val="406F0719"/>
    <w:rsid w:val="40707643"/>
    <w:rsid w:val="40AA7B9C"/>
    <w:rsid w:val="40C73D4E"/>
    <w:rsid w:val="40CE2775"/>
    <w:rsid w:val="40D00933"/>
    <w:rsid w:val="41592F6B"/>
    <w:rsid w:val="417B7EE4"/>
    <w:rsid w:val="41822435"/>
    <w:rsid w:val="418232DA"/>
    <w:rsid w:val="41F32219"/>
    <w:rsid w:val="423E32C5"/>
    <w:rsid w:val="424213B7"/>
    <w:rsid w:val="42D94E4D"/>
    <w:rsid w:val="43327C3F"/>
    <w:rsid w:val="434A5A04"/>
    <w:rsid w:val="43855BC6"/>
    <w:rsid w:val="43A0110C"/>
    <w:rsid w:val="43CE4703"/>
    <w:rsid w:val="441146A2"/>
    <w:rsid w:val="44D519E5"/>
    <w:rsid w:val="44DC0F0E"/>
    <w:rsid w:val="44E96C73"/>
    <w:rsid w:val="458D2708"/>
    <w:rsid w:val="45AA48D9"/>
    <w:rsid w:val="45F8492D"/>
    <w:rsid w:val="464B7434"/>
    <w:rsid w:val="467C2857"/>
    <w:rsid w:val="46947DF8"/>
    <w:rsid w:val="469D3A52"/>
    <w:rsid w:val="46C949E9"/>
    <w:rsid w:val="47610182"/>
    <w:rsid w:val="478F28A2"/>
    <w:rsid w:val="484A786D"/>
    <w:rsid w:val="48753139"/>
    <w:rsid w:val="48A60C96"/>
    <w:rsid w:val="48EA3C76"/>
    <w:rsid w:val="48ED6A25"/>
    <w:rsid w:val="493B2AD4"/>
    <w:rsid w:val="498C0C42"/>
    <w:rsid w:val="49A637DA"/>
    <w:rsid w:val="49B2579F"/>
    <w:rsid w:val="49BF4AC4"/>
    <w:rsid w:val="49CF62BD"/>
    <w:rsid w:val="49EF5432"/>
    <w:rsid w:val="4A161186"/>
    <w:rsid w:val="4A2F2D65"/>
    <w:rsid w:val="4A6A26C9"/>
    <w:rsid w:val="4A7B3956"/>
    <w:rsid w:val="4B200C1F"/>
    <w:rsid w:val="4B4952AB"/>
    <w:rsid w:val="4BA87D12"/>
    <w:rsid w:val="4C007236"/>
    <w:rsid w:val="4C170F06"/>
    <w:rsid w:val="4C457EA8"/>
    <w:rsid w:val="4C4A0CCD"/>
    <w:rsid w:val="4C522772"/>
    <w:rsid w:val="4C634BA9"/>
    <w:rsid w:val="4C6C4C46"/>
    <w:rsid w:val="4C9020FF"/>
    <w:rsid w:val="4C9804FB"/>
    <w:rsid w:val="4CD01B8F"/>
    <w:rsid w:val="4D58331D"/>
    <w:rsid w:val="4D8817AD"/>
    <w:rsid w:val="4DE439F1"/>
    <w:rsid w:val="4E367EAE"/>
    <w:rsid w:val="4E542860"/>
    <w:rsid w:val="4E796594"/>
    <w:rsid w:val="4E8A0D1D"/>
    <w:rsid w:val="4EA27AD9"/>
    <w:rsid w:val="4EA35165"/>
    <w:rsid w:val="4EEA77A2"/>
    <w:rsid w:val="4F1764F2"/>
    <w:rsid w:val="4F7C1488"/>
    <w:rsid w:val="4FA65AFA"/>
    <w:rsid w:val="4FC87D7E"/>
    <w:rsid w:val="4FD133F1"/>
    <w:rsid w:val="4FE73392"/>
    <w:rsid w:val="4FED04B6"/>
    <w:rsid w:val="501552A3"/>
    <w:rsid w:val="50183A27"/>
    <w:rsid w:val="50A666C9"/>
    <w:rsid w:val="50D016A3"/>
    <w:rsid w:val="51163C1D"/>
    <w:rsid w:val="51381858"/>
    <w:rsid w:val="51580F3C"/>
    <w:rsid w:val="516A2B35"/>
    <w:rsid w:val="51731724"/>
    <w:rsid w:val="51B136A7"/>
    <w:rsid w:val="51BF344A"/>
    <w:rsid w:val="52170177"/>
    <w:rsid w:val="52266B70"/>
    <w:rsid w:val="522B31D8"/>
    <w:rsid w:val="524C21B7"/>
    <w:rsid w:val="52533586"/>
    <w:rsid w:val="5277286D"/>
    <w:rsid w:val="52CA4C98"/>
    <w:rsid w:val="532E3DB6"/>
    <w:rsid w:val="533B6D89"/>
    <w:rsid w:val="537B42E2"/>
    <w:rsid w:val="538073C9"/>
    <w:rsid w:val="54006CEC"/>
    <w:rsid w:val="54615A64"/>
    <w:rsid w:val="54A24DF8"/>
    <w:rsid w:val="54C072C3"/>
    <w:rsid w:val="55606561"/>
    <w:rsid w:val="55844053"/>
    <w:rsid w:val="55915F1C"/>
    <w:rsid w:val="55B42450"/>
    <w:rsid w:val="565A4F5F"/>
    <w:rsid w:val="567210F2"/>
    <w:rsid w:val="56A15432"/>
    <w:rsid w:val="56CB24CE"/>
    <w:rsid w:val="56D50981"/>
    <w:rsid w:val="572962D9"/>
    <w:rsid w:val="576D77DD"/>
    <w:rsid w:val="57812E7F"/>
    <w:rsid w:val="57FE2B4E"/>
    <w:rsid w:val="584226FB"/>
    <w:rsid w:val="58612B50"/>
    <w:rsid w:val="587036F8"/>
    <w:rsid w:val="587765A3"/>
    <w:rsid w:val="58DA31C2"/>
    <w:rsid w:val="596B43C6"/>
    <w:rsid w:val="5977221C"/>
    <w:rsid w:val="5980708B"/>
    <w:rsid w:val="59DA7063"/>
    <w:rsid w:val="59FC60B2"/>
    <w:rsid w:val="5A041BE3"/>
    <w:rsid w:val="5A410D3B"/>
    <w:rsid w:val="5A4918AE"/>
    <w:rsid w:val="5A603D04"/>
    <w:rsid w:val="5AD50985"/>
    <w:rsid w:val="5BFC7BA9"/>
    <w:rsid w:val="5C381374"/>
    <w:rsid w:val="5C44524E"/>
    <w:rsid w:val="5C603EEF"/>
    <w:rsid w:val="5C794A68"/>
    <w:rsid w:val="5C8313B3"/>
    <w:rsid w:val="5CC507B6"/>
    <w:rsid w:val="5CDF68D8"/>
    <w:rsid w:val="5D695DA5"/>
    <w:rsid w:val="5D735B94"/>
    <w:rsid w:val="5D743596"/>
    <w:rsid w:val="5D7A04E9"/>
    <w:rsid w:val="5E6A530B"/>
    <w:rsid w:val="5F1713CB"/>
    <w:rsid w:val="5FA769D1"/>
    <w:rsid w:val="5FB25805"/>
    <w:rsid w:val="5FE75753"/>
    <w:rsid w:val="60E17681"/>
    <w:rsid w:val="610927A0"/>
    <w:rsid w:val="61B07047"/>
    <w:rsid w:val="61DB49D9"/>
    <w:rsid w:val="621C33F2"/>
    <w:rsid w:val="623A470E"/>
    <w:rsid w:val="62F02D2C"/>
    <w:rsid w:val="643A2D71"/>
    <w:rsid w:val="6445164C"/>
    <w:rsid w:val="645B0876"/>
    <w:rsid w:val="645E2948"/>
    <w:rsid w:val="64BF34AB"/>
    <w:rsid w:val="64D11F02"/>
    <w:rsid w:val="64EF6202"/>
    <w:rsid w:val="652649C4"/>
    <w:rsid w:val="655D756E"/>
    <w:rsid w:val="65841218"/>
    <w:rsid w:val="658B0DFC"/>
    <w:rsid w:val="65CC758B"/>
    <w:rsid w:val="66216BFE"/>
    <w:rsid w:val="664261E4"/>
    <w:rsid w:val="66507F49"/>
    <w:rsid w:val="66767896"/>
    <w:rsid w:val="66B67354"/>
    <w:rsid w:val="678F14F6"/>
    <w:rsid w:val="67AD02FF"/>
    <w:rsid w:val="67CD3E93"/>
    <w:rsid w:val="67D61280"/>
    <w:rsid w:val="685A66B3"/>
    <w:rsid w:val="68D43129"/>
    <w:rsid w:val="68E005F6"/>
    <w:rsid w:val="68E03172"/>
    <w:rsid w:val="68EC2447"/>
    <w:rsid w:val="68F423C1"/>
    <w:rsid w:val="68F84484"/>
    <w:rsid w:val="68FA05DC"/>
    <w:rsid w:val="690102A5"/>
    <w:rsid w:val="691274C1"/>
    <w:rsid w:val="6912754E"/>
    <w:rsid w:val="6913050F"/>
    <w:rsid w:val="69557366"/>
    <w:rsid w:val="69A0043F"/>
    <w:rsid w:val="6A377945"/>
    <w:rsid w:val="6A576567"/>
    <w:rsid w:val="6A745ABF"/>
    <w:rsid w:val="6A966EE5"/>
    <w:rsid w:val="6A9E0DA7"/>
    <w:rsid w:val="6B0B6421"/>
    <w:rsid w:val="6B1B1DD6"/>
    <w:rsid w:val="6B336EF5"/>
    <w:rsid w:val="6B441F28"/>
    <w:rsid w:val="6BD00000"/>
    <w:rsid w:val="6BD4765B"/>
    <w:rsid w:val="6BF018DB"/>
    <w:rsid w:val="6BFD7EA6"/>
    <w:rsid w:val="6C0539EF"/>
    <w:rsid w:val="6C467711"/>
    <w:rsid w:val="6C7A24D7"/>
    <w:rsid w:val="6CA65BFC"/>
    <w:rsid w:val="6CEC3A86"/>
    <w:rsid w:val="6D15056F"/>
    <w:rsid w:val="6D235A8D"/>
    <w:rsid w:val="6D4506BF"/>
    <w:rsid w:val="6D7922D8"/>
    <w:rsid w:val="6DAF2603"/>
    <w:rsid w:val="6DDD563B"/>
    <w:rsid w:val="6E17004D"/>
    <w:rsid w:val="6E1D1819"/>
    <w:rsid w:val="6E2702F2"/>
    <w:rsid w:val="6EB80BE3"/>
    <w:rsid w:val="6ED15532"/>
    <w:rsid w:val="6ED46285"/>
    <w:rsid w:val="6EE34597"/>
    <w:rsid w:val="6F04705D"/>
    <w:rsid w:val="6F115FA0"/>
    <w:rsid w:val="6F132C2A"/>
    <w:rsid w:val="6F436938"/>
    <w:rsid w:val="6F5227DA"/>
    <w:rsid w:val="6F7B4C4A"/>
    <w:rsid w:val="6FE54A4F"/>
    <w:rsid w:val="70371C02"/>
    <w:rsid w:val="70653A40"/>
    <w:rsid w:val="70CB6EF5"/>
    <w:rsid w:val="712F67E9"/>
    <w:rsid w:val="713E3DFA"/>
    <w:rsid w:val="717151E3"/>
    <w:rsid w:val="71B877D0"/>
    <w:rsid w:val="71BE3A4E"/>
    <w:rsid w:val="71CD2957"/>
    <w:rsid w:val="72352405"/>
    <w:rsid w:val="72372947"/>
    <w:rsid w:val="725D6E18"/>
    <w:rsid w:val="727C5E16"/>
    <w:rsid w:val="727F5B23"/>
    <w:rsid w:val="728A7867"/>
    <w:rsid w:val="72B952B2"/>
    <w:rsid w:val="72CE09E2"/>
    <w:rsid w:val="72E67EBC"/>
    <w:rsid w:val="73101815"/>
    <w:rsid w:val="73106075"/>
    <w:rsid w:val="73185BE3"/>
    <w:rsid w:val="73243DAE"/>
    <w:rsid w:val="73B47CC9"/>
    <w:rsid w:val="73ED7DB2"/>
    <w:rsid w:val="74305505"/>
    <w:rsid w:val="749361FE"/>
    <w:rsid w:val="74C55301"/>
    <w:rsid w:val="750B2C9B"/>
    <w:rsid w:val="752611F3"/>
    <w:rsid w:val="752C5BC0"/>
    <w:rsid w:val="75F92BF3"/>
    <w:rsid w:val="764D0DBE"/>
    <w:rsid w:val="769E166F"/>
    <w:rsid w:val="76AE24BD"/>
    <w:rsid w:val="76ED6469"/>
    <w:rsid w:val="76F0172E"/>
    <w:rsid w:val="7702704E"/>
    <w:rsid w:val="77203D64"/>
    <w:rsid w:val="779C6359"/>
    <w:rsid w:val="77E0008D"/>
    <w:rsid w:val="78372F38"/>
    <w:rsid w:val="78691DAF"/>
    <w:rsid w:val="78FC5E03"/>
    <w:rsid w:val="790F667F"/>
    <w:rsid w:val="79E068CB"/>
    <w:rsid w:val="7A025785"/>
    <w:rsid w:val="7A3B5A25"/>
    <w:rsid w:val="7A5B7C03"/>
    <w:rsid w:val="7AA10B03"/>
    <w:rsid w:val="7AFB3F4A"/>
    <w:rsid w:val="7B76043A"/>
    <w:rsid w:val="7B9C3CCE"/>
    <w:rsid w:val="7BB44FC8"/>
    <w:rsid w:val="7BDA43D3"/>
    <w:rsid w:val="7BE547DC"/>
    <w:rsid w:val="7C0A3AFD"/>
    <w:rsid w:val="7C1B1F4A"/>
    <w:rsid w:val="7CC7290F"/>
    <w:rsid w:val="7CFB4CAF"/>
    <w:rsid w:val="7D331A61"/>
    <w:rsid w:val="7DB44406"/>
    <w:rsid w:val="7DBE7B42"/>
    <w:rsid w:val="7DF56635"/>
    <w:rsid w:val="7E133A0C"/>
    <w:rsid w:val="7E325167"/>
    <w:rsid w:val="7E9916A7"/>
    <w:rsid w:val="7EB800BF"/>
    <w:rsid w:val="7F416B3C"/>
    <w:rsid w:val="7F534A21"/>
    <w:rsid w:val="7F817710"/>
    <w:rsid w:val="7FC2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6">
    <w:name w:val="font31"/>
    <w:qFormat/>
    <w:uiPriority w:val="0"/>
    <w:rPr>
      <w:rFonts w:hint="eastAsia" w:ascii="方正仿宋_GBK" w:hAnsi="方正仿宋_GBK" w:eastAsia="方正仿宋_GBK" w:cs="方正仿宋_GBK"/>
      <w:color w:val="000000"/>
      <w:sz w:val="32"/>
      <w:szCs w:val="32"/>
      <w:u w:val="none"/>
    </w:rPr>
  </w:style>
  <w:style w:type="paragraph" w:customStyle="1" w:styleId="7">
    <w:name w:val=" Char"/>
    <w:basedOn w:val="1"/>
    <w:uiPriority w:val="0"/>
    <w:rPr>
      <w:rFonts w:ascii="宋体" w:hAnsi="宋体" w:cs="Courier New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2021-08-16T02:26:00Z</dcterms:created>
  <dc:creator>csswork2017</dc:creator>
  <cp:lastModifiedBy>csswork2020</cp:lastModifiedBy>
  <dcterms:modified xsi:type="dcterms:W3CDTF">2022-04-15T03:27:21Z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BB3FE391DE184FB2AE7B7C1D37276D39</vt:lpwstr>
  </property>
</Properties>
</file>