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北京市托幼机构卫生评价申请书</w:t>
      </w:r>
    </w:p>
    <w:p>
      <w:pPr>
        <w:spacing w:line="560" w:lineRule="exact"/>
        <w:rPr>
          <w:rFonts w:hint="eastAsia" w:ascii="仿宋_GB2312" w:hAnsi="仿宋_GB2312" w:eastAsia="仿宋_GB2312"/>
          <w:sz w:val="32"/>
          <w:szCs w:val="32"/>
          <w:u w:val="single"/>
        </w:rPr>
      </w:pPr>
    </w:p>
    <w:p>
      <w:pPr>
        <w:snapToGrid w:val="0"/>
        <w:spacing w:line="360" w:lineRule="auto"/>
        <w:rPr>
          <w:rFonts w:hint="eastAsia" w:ascii="仿宋_GB2312" w:hAnsi="仿宋_GB2312" w:eastAsia="仿宋_GB2312"/>
          <w:sz w:val="32"/>
          <w:szCs w:val="32"/>
        </w:rPr>
      </w:pP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 xml:space="preserve"> :</w:t>
      </w:r>
    </w:p>
    <w:p>
      <w:pPr>
        <w:snapToGrid w:val="0"/>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本园（所）拟于   年   月开始招生，依据《托儿所幼儿园卫生保健管理办法》的要求，特向您单位申请对我园（所）进行卫生评估。</w:t>
      </w:r>
    </w:p>
    <w:p>
      <w:pPr>
        <w:snapToGrid w:val="0"/>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申请单位地址：</w:t>
      </w:r>
    </w:p>
    <w:p>
      <w:pPr>
        <w:snapToGrid w:val="0"/>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申请单位电话：</w:t>
      </w:r>
    </w:p>
    <w:p>
      <w:pPr>
        <w:snapToGrid w:val="0"/>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申请单位邮箱：</w:t>
      </w:r>
    </w:p>
    <w:p>
      <w:pPr>
        <w:snapToGrid w:val="0"/>
        <w:spacing w:line="360" w:lineRule="auto"/>
        <w:rPr>
          <w:rFonts w:hint="eastAsia" w:ascii="宋体" w:hAnsi="宋体" w:cs="宋体"/>
          <w:sz w:val="32"/>
          <w:szCs w:val="32"/>
        </w:rPr>
      </w:pPr>
    </w:p>
    <w:p>
      <w:pPr>
        <w:snapToGrid w:val="0"/>
        <w:spacing w:line="360" w:lineRule="auto"/>
        <w:rPr>
          <w:rFonts w:hint="eastAsia" w:ascii="宋体" w:hAnsi="宋体" w:cs="宋体"/>
          <w:sz w:val="32"/>
          <w:szCs w:val="32"/>
        </w:rPr>
      </w:pPr>
    </w:p>
    <w:p>
      <w:pPr>
        <w:snapToGrid w:val="0"/>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xml:space="preserve">                    申请单位（签章）：</w:t>
      </w:r>
    </w:p>
    <w:p>
      <w:pPr>
        <w:snapToGrid w:val="0"/>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xml:space="preserve">                    申请人：</w:t>
      </w:r>
    </w:p>
    <w:p>
      <w:pPr>
        <w:snapToGrid w:val="0"/>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xml:space="preserve">                    申请日期：</w:t>
      </w:r>
    </w:p>
    <w:p>
      <w:pPr>
        <w:spacing w:line="560" w:lineRule="exact"/>
        <w:rPr>
          <w:rFonts w:hint="eastAsia" w:ascii="仿宋_GB2312" w:hAnsi="仿宋_GB2312" w:eastAsia="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北京市新设立托幼机构招生前卫生评价表</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机构名称（单位公章）：</w:t>
      </w:r>
    </w:p>
    <w:tbl>
      <w:tblPr>
        <w:tblStyle w:val="6"/>
        <w:tblW w:w="10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6107"/>
        <w:gridCol w:w="710"/>
        <w:gridCol w:w="800"/>
        <w:gridCol w:w="79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blHeader/>
          <w:jc w:val="center"/>
        </w:trPr>
        <w:tc>
          <w:tcPr>
            <w:tcW w:w="748" w:type="dxa"/>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评价内容</w:t>
            </w:r>
          </w:p>
        </w:tc>
        <w:tc>
          <w:tcPr>
            <w:tcW w:w="6107" w:type="dxa"/>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评价标准</w:t>
            </w:r>
          </w:p>
        </w:tc>
        <w:tc>
          <w:tcPr>
            <w:tcW w:w="710" w:type="dxa"/>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分值</w:t>
            </w:r>
          </w:p>
        </w:tc>
        <w:tc>
          <w:tcPr>
            <w:tcW w:w="800" w:type="dxa"/>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评价方法</w:t>
            </w:r>
          </w:p>
        </w:tc>
        <w:tc>
          <w:tcPr>
            <w:tcW w:w="790" w:type="dxa"/>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得分</w:t>
            </w:r>
          </w:p>
        </w:tc>
        <w:tc>
          <w:tcPr>
            <w:tcW w:w="937" w:type="dxa"/>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48" w:type="dxa"/>
            <w:vMerge w:val="restart"/>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环境</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卫生</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(20分)</w:t>
            </w:r>
          </w:p>
        </w:tc>
        <w:tc>
          <w:tcPr>
            <w:tcW w:w="6107" w:type="dxa"/>
            <w:vAlign w:val="center"/>
          </w:tcPr>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1、园（所）内建筑物、户外场地、绿化用地及杂物堆放场地等总体布局合理，有明确功能分区</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800" w:type="dxa"/>
            <w:vMerge w:val="restart"/>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查看现场</w:t>
            </w:r>
          </w:p>
        </w:tc>
        <w:tc>
          <w:tcPr>
            <w:tcW w:w="790" w:type="dxa"/>
          </w:tcPr>
          <w:p>
            <w:pPr>
              <w:adjustRightInd w:val="0"/>
              <w:snapToGrid w:val="0"/>
              <w:rPr>
                <w:rFonts w:hint="eastAsia" w:ascii="仿宋_GB2312" w:hAnsi="仿宋_GB2312" w:eastAsia="仿宋_GB2312" w:cs="仿宋_GB2312"/>
                <w:sz w:val="24"/>
              </w:rPr>
            </w:pPr>
          </w:p>
        </w:tc>
        <w:tc>
          <w:tcPr>
            <w:tcW w:w="937" w:type="dxa"/>
            <w:vMerge w:val="restart"/>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48" w:type="dxa"/>
            <w:vMerge w:val="continue"/>
            <w:vAlign w:val="center"/>
          </w:tcPr>
          <w:p>
            <w:pPr>
              <w:adjustRightInd w:val="0"/>
              <w:snapToGrid w:val="0"/>
              <w:jc w:val="center"/>
              <w:rPr>
                <w:rFonts w:hint="eastAsia" w:ascii="仿宋_GB2312" w:hAnsi="仿宋_GB2312" w:eastAsia="仿宋_GB2312" w:cs="仿宋_GB2312"/>
                <w:b/>
                <w:bCs/>
                <w:sz w:val="24"/>
              </w:rPr>
            </w:pPr>
          </w:p>
        </w:tc>
        <w:tc>
          <w:tcPr>
            <w:tcW w:w="6107" w:type="dxa"/>
            <w:vAlign w:val="center"/>
          </w:tcPr>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2、室外活动场地地面应平整、防滑，无障碍，无尖锐突出物</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8" w:type="dxa"/>
            <w:vMerge w:val="continue"/>
            <w:vAlign w:val="center"/>
          </w:tcPr>
          <w:p>
            <w:pPr>
              <w:adjustRightInd w:val="0"/>
              <w:snapToGrid w:val="0"/>
              <w:jc w:val="center"/>
              <w:rPr>
                <w:rFonts w:hint="eastAsia" w:ascii="仿宋_GB2312" w:hAnsi="仿宋_GB2312" w:eastAsia="仿宋_GB2312" w:cs="仿宋_GB2312"/>
                <w:b/>
                <w:bCs/>
                <w:sz w:val="24"/>
              </w:rPr>
            </w:pPr>
          </w:p>
        </w:tc>
        <w:tc>
          <w:tcPr>
            <w:tcW w:w="6107" w:type="dxa"/>
            <w:vAlign w:val="center"/>
          </w:tcPr>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3、活动器材安全性符合国家相关规定</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748" w:type="dxa"/>
            <w:vMerge w:val="continue"/>
            <w:vAlign w:val="center"/>
          </w:tcPr>
          <w:p>
            <w:pPr>
              <w:adjustRightInd w:val="0"/>
              <w:snapToGrid w:val="0"/>
              <w:jc w:val="center"/>
              <w:rPr>
                <w:rFonts w:hint="eastAsia" w:ascii="仿宋_GB2312" w:hAnsi="仿宋_GB2312" w:eastAsia="仿宋_GB2312" w:cs="仿宋_GB2312"/>
                <w:b/>
                <w:bCs/>
                <w:sz w:val="24"/>
              </w:rPr>
            </w:pPr>
          </w:p>
        </w:tc>
        <w:tc>
          <w:tcPr>
            <w:tcW w:w="6107" w:type="dxa"/>
            <w:vAlign w:val="center"/>
          </w:tcPr>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4、未种植有毒、带刺的植物</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748" w:type="dxa"/>
            <w:vMerge w:val="continue"/>
            <w:vAlign w:val="center"/>
          </w:tcPr>
          <w:p>
            <w:pPr>
              <w:adjustRightInd w:val="0"/>
              <w:snapToGrid w:val="0"/>
              <w:jc w:val="center"/>
              <w:rPr>
                <w:rFonts w:hint="eastAsia" w:ascii="仿宋_GB2312" w:hAnsi="仿宋_GB2312" w:eastAsia="仿宋_GB2312" w:cs="仿宋_GB2312"/>
                <w:b/>
                <w:bCs/>
                <w:sz w:val="24"/>
              </w:rPr>
            </w:pPr>
          </w:p>
        </w:tc>
        <w:tc>
          <w:tcPr>
            <w:tcW w:w="6107" w:type="dxa"/>
            <w:vAlign w:val="center"/>
          </w:tcPr>
          <w:p>
            <w:pPr>
              <w:widowControl/>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5、室内环境的甲醛、苯及苯系物等检测结果符合国家要求</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80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查验检测</w:t>
            </w:r>
          </w:p>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报告</w:t>
            </w: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6、室内空气清新、光线明亮</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800" w:type="dxa"/>
            <w:vMerge w:val="restart"/>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查看现场</w:t>
            </w: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7、有防蚊蝇等有害昆虫的设施</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8、每个班级有独立的厕所和盥洗室</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9、每班厕所内有污水池，盥洗室内有洗涤池</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10、盥洗室内有流动水洗手装置</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必达项目</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11、盥洗室内水龙头数量和间距设置合理</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48" w:type="dxa"/>
            <w:vMerge w:val="restart"/>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个人</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卫生</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(15分)</w:t>
            </w:r>
          </w:p>
        </w:tc>
        <w:tc>
          <w:tcPr>
            <w:tcW w:w="6107" w:type="dxa"/>
            <w:vAlign w:val="center"/>
          </w:tcPr>
          <w:p>
            <w:pPr>
              <w:widowControl/>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1、保证儿童每日1巾1杯专用,寄宿制儿童每人有专用洗漱用品</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必达项目</w:t>
            </w:r>
          </w:p>
        </w:tc>
        <w:tc>
          <w:tcPr>
            <w:tcW w:w="800" w:type="dxa"/>
            <w:vMerge w:val="restart"/>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查看现场</w:t>
            </w:r>
          </w:p>
        </w:tc>
        <w:tc>
          <w:tcPr>
            <w:tcW w:w="790" w:type="dxa"/>
          </w:tcPr>
          <w:p>
            <w:pPr>
              <w:adjustRightInd w:val="0"/>
              <w:snapToGrid w:val="0"/>
              <w:rPr>
                <w:rFonts w:hint="eastAsia" w:ascii="仿宋_GB2312" w:hAnsi="仿宋_GB2312" w:eastAsia="仿宋_GB2312" w:cs="仿宋_GB2312"/>
                <w:sz w:val="24"/>
              </w:rPr>
            </w:pPr>
          </w:p>
        </w:tc>
        <w:tc>
          <w:tcPr>
            <w:tcW w:w="937" w:type="dxa"/>
            <w:vMerge w:val="restart"/>
            <w:vAlign w:val="center"/>
          </w:tcPr>
          <w:p>
            <w:pPr>
              <w:adjustRightInd w:val="0"/>
              <w:snapToGrid w:val="0"/>
              <w:rPr>
                <w:rFonts w:hint="eastAsia" w:ascii="仿宋_GB2312" w:hAnsi="仿宋_GB2312" w:eastAsia="仿宋_GB2312" w:cs="仿宋_GB2312"/>
                <w:sz w:val="24"/>
              </w:rPr>
            </w:pPr>
          </w:p>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2、每班有专用水杯架，标识清楚，有饮水设施</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3、每班有专用毛巾架，标识清楚，毛巾间距合理</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4、有专用水杯、毛巾消毒设施</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widowControl/>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5、儿童有安全、卫生、独自使用的床位和被褥</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48" w:type="dxa"/>
            <w:vMerge w:val="restart"/>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食堂</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卫生</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(10分)</w:t>
            </w:r>
          </w:p>
        </w:tc>
        <w:tc>
          <w:tcPr>
            <w:tcW w:w="6107" w:type="dxa"/>
            <w:vAlign w:val="center"/>
          </w:tcPr>
          <w:p>
            <w:pPr>
              <w:widowControl/>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1、食堂获得《餐饮服务许可证》</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必达项目</w:t>
            </w:r>
          </w:p>
        </w:tc>
        <w:tc>
          <w:tcPr>
            <w:tcW w:w="80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查验证件</w:t>
            </w:r>
          </w:p>
        </w:tc>
        <w:tc>
          <w:tcPr>
            <w:tcW w:w="790" w:type="dxa"/>
          </w:tcPr>
          <w:p>
            <w:pPr>
              <w:adjustRightInd w:val="0"/>
              <w:snapToGrid w:val="0"/>
              <w:rPr>
                <w:rFonts w:hint="eastAsia" w:ascii="仿宋_GB2312" w:hAnsi="仿宋_GB2312" w:eastAsia="仿宋_GB2312" w:cs="仿宋_GB2312"/>
                <w:sz w:val="24"/>
              </w:rPr>
            </w:pPr>
          </w:p>
        </w:tc>
        <w:tc>
          <w:tcPr>
            <w:tcW w:w="937" w:type="dxa"/>
            <w:vMerge w:val="restart"/>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2、园（所）内应设置区域性的餐饮具集中清洗消毒间，消毒后有保洁存放设施</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800" w:type="dxa"/>
            <w:vMerge w:val="restart"/>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查看现场</w:t>
            </w: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3、配有食物留样专用冰箱，有专人管理</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widowControl/>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4、炊事人员与儿童配备比例：提供每日三餐一点的托幼机构应达1: 50，提供每日一餐二点或二餐一点的托幼机构应达1: 80</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80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查看资料</w:t>
            </w: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748" w:type="dxa"/>
            <w:vMerge w:val="restart"/>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保健</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室或</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卫生</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室设</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置</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(20分)</w:t>
            </w:r>
          </w:p>
        </w:tc>
        <w:tc>
          <w:tcPr>
            <w:tcW w:w="6107" w:type="dxa"/>
            <w:vAlign w:val="center"/>
          </w:tcPr>
          <w:p>
            <w:pPr>
              <w:widowControl/>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1、设立保健室或卫生室</w:t>
            </w:r>
          </w:p>
        </w:tc>
        <w:tc>
          <w:tcPr>
            <w:tcW w:w="710" w:type="dxa"/>
            <w:vMerge w:val="restart"/>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必达项目</w:t>
            </w:r>
          </w:p>
        </w:tc>
        <w:tc>
          <w:tcPr>
            <w:tcW w:w="800" w:type="dxa"/>
            <w:vMerge w:val="restart"/>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查看现场</w:t>
            </w:r>
          </w:p>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查验证件</w:t>
            </w:r>
          </w:p>
        </w:tc>
        <w:tc>
          <w:tcPr>
            <w:tcW w:w="790" w:type="dxa"/>
          </w:tcPr>
          <w:p>
            <w:pPr>
              <w:adjustRightInd w:val="0"/>
              <w:snapToGrid w:val="0"/>
              <w:rPr>
                <w:rFonts w:hint="eastAsia" w:ascii="仿宋_GB2312" w:hAnsi="仿宋_GB2312" w:eastAsia="仿宋_GB2312" w:cs="仿宋_GB2312"/>
                <w:sz w:val="24"/>
              </w:rPr>
            </w:pPr>
          </w:p>
        </w:tc>
        <w:tc>
          <w:tcPr>
            <w:tcW w:w="937" w:type="dxa"/>
            <w:vMerge w:val="restart"/>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748" w:type="dxa"/>
            <w:vMerge w:val="continue"/>
            <w:vAlign w:val="center"/>
          </w:tcPr>
          <w:p>
            <w:pPr>
              <w:adjustRightInd w:val="0"/>
              <w:snapToGrid w:val="0"/>
              <w:jc w:val="center"/>
              <w:rPr>
                <w:rFonts w:hint="eastAsia" w:ascii="仿宋_GB2312" w:hAnsi="仿宋_GB2312" w:eastAsia="仿宋_GB2312" w:cs="仿宋_GB2312"/>
                <w:b/>
                <w:bCs/>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2、卫生室需有《医疗机构执业许可证》</w:t>
            </w:r>
          </w:p>
        </w:tc>
        <w:tc>
          <w:tcPr>
            <w:tcW w:w="710" w:type="dxa"/>
            <w:vMerge w:val="continue"/>
            <w:vAlign w:val="center"/>
          </w:tcPr>
          <w:p>
            <w:pPr>
              <w:widowControl/>
              <w:adjustRightInd w:val="0"/>
              <w:snapToGrid w:val="0"/>
              <w:jc w:val="center"/>
              <w:rPr>
                <w:rFonts w:hint="eastAsia" w:ascii="仿宋_GB2312" w:hAnsi="仿宋_GB2312" w:eastAsia="仿宋_GB2312" w:cs="仿宋_GB2312"/>
                <w:sz w:val="24"/>
              </w:rPr>
            </w:pP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3、保健室面积不少于12平方米</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800" w:type="dxa"/>
            <w:vMerge w:val="restart"/>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查看现场</w:t>
            </w: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4、保健室设有儿童观察床</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5、配备桌椅、药品柜、资料柜</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6、有流动水或代用流动水的设施</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7、配备儿童杠杆式体重秤、身高计（供2岁以上儿童使用）、量床（供2岁及以下儿童使用）、国际标准视力表或标准对数视力表灯箱、体围测量软尺等设备</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8、配备消毒压舌板、体温计、手电筒等晨检用品</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9、是否有合格的消毒剂，知晓消毒剂配比及使用原则</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10、配备紫外线消毒灯或其他空气消毒装置</w:t>
            </w:r>
          </w:p>
        </w:tc>
        <w:tc>
          <w:tcPr>
            <w:tcW w:w="71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48" w:type="dxa"/>
            <w:vMerge w:val="restart"/>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卫生</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保健</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人员</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配备</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(15分)</w:t>
            </w:r>
          </w:p>
        </w:tc>
        <w:tc>
          <w:tcPr>
            <w:tcW w:w="6107" w:type="dxa"/>
            <w:vAlign w:val="center"/>
          </w:tcPr>
          <w:p>
            <w:pPr>
              <w:widowControl/>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1、配备符合国家规定的卫生保健人员</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必达项目</w:t>
            </w:r>
          </w:p>
        </w:tc>
        <w:tc>
          <w:tcPr>
            <w:tcW w:w="800" w:type="dxa"/>
            <w:vMerge w:val="restart"/>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查看资料</w:t>
            </w:r>
          </w:p>
        </w:tc>
        <w:tc>
          <w:tcPr>
            <w:tcW w:w="790" w:type="dxa"/>
          </w:tcPr>
          <w:p>
            <w:pPr>
              <w:adjustRightInd w:val="0"/>
              <w:snapToGrid w:val="0"/>
              <w:rPr>
                <w:rFonts w:hint="eastAsia" w:ascii="仿宋_GB2312" w:hAnsi="仿宋_GB2312" w:eastAsia="仿宋_GB2312" w:cs="仿宋_GB2312"/>
                <w:sz w:val="24"/>
              </w:rPr>
            </w:pPr>
          </w:p>
        </w:tc>
        <w:tc>
          <w:tcPr>
            <w:tcW w:w="937" w:type="dxa"/>
            <w:vMerge w:val="restart"/>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widowControl/>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2、卫生保健工作的第一责任人是托幼机构的法定代表人或负责人</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3、按照收托100名儿童至少设1名专职卫生保健人员的比例配备（收托100名以下儿童的可配备兼职卫生保健人员）</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748" w:type="dxa"/>
            <w:vMerge w:val="continue"/>
            <w:vAlign w:val="center"/>
          </w:tcPr>
          <w:p>
            <w:pPr>
              <w:adjustRightInd w:val="0"/>
              <w:snapToGrid w:val="0"/>
              <w:rPr>
                <w:rFonts w:hint="eastAsia" w:ascii="仿宋_GB2312" w:hAnsi="仿宋_GB2312" w:eastAsia="仿宋_GB2312" w:cs="仿宋_GB2312"/>
                <w:sz w:val="24"/>
              </w:rPr>
            </w:pPr>
          </w:p>
        </w:tc>
        <w:tc>
          <w:tcPr>
            <w:tcW w:w="6107" w:type="dxa"/>
            <w:vAlign w:val="center"/>
          </w:tcPr>
          <w:p>
            <w:p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4、卫生保健人员上岗前接受培训并考核合格</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800" w:type="dxa"/>
            <w:vMerge w:val="continue"/>
            <w:vAlign w:val="center"/>
          </w:tcPr>
          <w:p>
            <w:pPr>
              <w:adjustRightInd w:val="0"/>
              <w:snapToGrid w:val="0"/>
              <w:jc w:val="center"/>
              <w:rPr>
                <w:rFonts w:hint="eastAsia" w:ascii="仿宋_GB2312" w:hAnsi="仿宋_GB2312" w:eastAsia="仿宋_GB2312" w:cs="仿宋_GB2312"/>
                <w:sz w:val="24"/>
              </w:rPr>
            </w:pPr>
          </w:p>
        </w:tc>
        <w:tc>
          <w:tcPr>
            <w:tcW w:w="790" w:type="dxa"/>
          </w:tcPr>
          <w:p>
            <w:pPr>
              <w:adjustRightInd w:val="0"/>
              <w:snapToGrid w:val="0"/>
              <w:rPr>
                <w:rFonts w:hint="eastAsia" w:ascii="仿宋_GB2312" w:hAnsi="仿宋_GB2312" w:eastAsia="仿宋_GB2312" w:cs="仿宋_GB2312"/>
                <w:sz w:val="24"/>
              </w:rPr>
            </w:pPr>
          </w:p>
        </w:tc>
        <w:tc>
          <w:tcPr>
            <w:tcW w:w="937"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jc w:val="center"/>
        </w:trPr>
        <w:tc>
          <w:tcPr>
            <w:tcW w:w="748" w:type="dxa"/>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工作</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人员</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健康</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检查</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(10分)</w:t>
            </w:r>
          </w:p>
        </w:tc>
        <w:tc>
          <w:tcPr>
            <w:tcW w:w="6107" w:type="dxa"/>
            <w:vAlign w:val="center"/>
          </w:tcPr>
          <w:p>
            <w:pPr>
              <w:widowControl/>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托幼机构工作人员上岗前经县级以上卫生行政部门指定的医疗卫生机构进行健康检查，并取得《托幼机构工作人员健康合格证》。炊事人员取得《食品从业人员健康证》</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80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查看证件</w:t>
            </w:r>
          </w:p>
        </w:tc>
        <w:tc>
          <w:tcPr>
            <w:tcW w:w="790" w:type="dxa"/>
          </w:tcPr>
          <w:p>
            <w:pPr>
              <w:adjustRightInd w:val="0"/>
              <w:snapToGrid w:val="0"/>
              <w:rPr>
                <w:rFonts w:hint="eastAsia" w:ascii="仿宋_GB2312" w:hAnsi="仿宋_GB2312" w:eastAsia="仿宋_GB2312" w:cs="仿宋_GB2312"/>
                <w:sz w:val="24"/>
              </w:rPr>
            </w:pPr>
          </w:p>
        </w:tc>
        <w:tc>
          <w:tcPr>
            <w:tcW w:w="937" w:type="dxa"/>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0" w:hRule="atLeast"/>
          <w:jc w:val="center"/>
        </w:trPr>
        <w:tc>
          <w:tcPr>
            <w:tcW w:w="748" w:type="dxa"/>
            <w:vAlign w:val="center"/>
          </w:tcPr>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卫生</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保健</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制度</w:t>
            </w:r>
          </w:p>
          <w:p>
            <w:pPr>
              <w:adjustRightInd w:val="0"/>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(10分)</w:t>
            </w:r>
          </w:p>
        </w:tc>
        <w:tc>
          <w:tcPr>
            <w:tcW w:w="6107" w:type="dxa"/>
            <w:vAlign w:val="center"/>
          </w:tcPr>
          <w:p>
            <w:pPr>
              <w:widowControl/>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建立10项卫生保健制度，并符合实际情况，具有可操作性</w:t>
            </w:r>
          </w:p>
          <w:p>
            <w:pPr>
              <w:widowControl/>
              <w:numPr>
                <w:ilvl w:val="0"/>
                <w:numId w:val="1"/>
              </w:num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一日生活制度</w:t>
            </w:r>
          </w:p>
          <w:p>
            <w:pPr>
              <w:widowControl/>
              <w:numPr>
                <w:ilvl w:val="0"/>
                <w:numId w:val="1"/>
              </w:num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膳食管理制度</w:t>
            </w:r>
          </w:p>
          <w:p>
            <w:pPr>
              <w:widowControl/>
              <w:numPr>
                <w:ilvl w:val="0"/>
                <w:numId w:val="1"/>
              </w:num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体格锻炼制度</w:t>
            </w:r>
          </w:p>
          <w:p>
            <w:pPr>
              <w:widowControl/>
              <w:numPr>
                <w:ilvl w:val="0"/>
                <w:numId w:val="1"/>
              </w:num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卫生与消毒制度</w:t>
            </w:r>
          </w:p>
          <w:p>
            <w:pPr>
              <w:widowControl/>
              <w:numPr>
                <w:ilvl w:val="0"/>
                <w:numId w:val="1"/>
              </w:num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入园（所）及定期健康检查制度</w:t>
            </w:r>
          </w:p>
          <w:p>
            <w:pPr>
              <w:widowControl/>
              <w:numPr>
                <w:ilvl w:val="0"/>
                <w:numId w:val="1"/>
              </w:num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传染病预防与控制制度</w:t>
            </w:r>
          </w:p>
          <w:p>
            <w:pPr>
              <w:widowControl/>
              <w:numPr>
                <w:ilvl w:val="0"/>
                <w:numId w:val="1"/>
              </w:num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常见疾病预防与管理制度</w:t>
            </w:r>
          </w:p>
          <w:p>
            <w:pPr>
              <w:widowControl/>
              <w:numPr>
                <w:ilvl w:val="0"/>
                <w:numId w:val="1"/>
              </w:num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伤害预防制度</w:t>
            </w:r>
          </w:p>
          <w:p>
            <w:pPr>
              <w:widowControl/>
              <w:numPr>
                <w:ilvl w:val="0"/>
                <w:numId w:val="1"/>
              </w:num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健康教育制度</w:t>
            </w:r>
          </w:p>
          <w:p>
            <w:pPr>
              <w:widowControl/>
              <w:numPr>
                <w:ilvl w:val="0"/>
                <w:numId w:val="1"/>
              </w:num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卫生保健信息收集制度</w:t>
            </w:r>
          </w:p>
          <w:p>
            <w:pPr>
              <w:widowControl/>
              <w:numPr>
                <w:ilvl w:val="0"/>
                <w:numId w:val="1"/>
              </w:numPr>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晨午检制度</w:t>
            </w:r>
          </w:p>
        </w:tc>
        <w:tc>
          <w:tcPr>
            <w:tcW w:w="710" w:type="dxa"/>
            <w:vAlign w:val="center"/>
          </w:tcPr>
          <w:p>
            <w:pPr>
              <w:widowControl/>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80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查看资料</w:t>
            </w:r>
          </w:p>
        </w:tc>
        <w:tc>
          <w:tcPr>
            <w:tcW w:w="790" w:type="dxa"/>
          </w:tcPr>
          <w:p>
            <w:pPr>
              <w:adjustRightInd w:val="0"/>
              <w:snapToGrid w:val="0"/>
              <w:rPr>
                <w:rFonts w:hint="eastAsia" w:ascii="仿宋_GB2312" w:hAnsi="仿宋_GB2312" w:eastAsia="仿宋_GB2312" w:cs="仿宋_GB2312"/>
                <w:sz w:val="24"/>
              </w:rPr>
            </w:pPr>
          </w:p>
        </w:tc>
        <w:tc>
          <w:tcPr>
            <w:tcW w:w="937" w:type="dxa"/>
            <w:vAlign w:val="center"/>
          </w:tcPr>
          <w:p>
            <w:pPr>
              <w:adjustRightInd w:val="0"/>
              <w:snapToGrid w:val="0"/>
              <w:rPr>
                <w:rFonts w:hint="eastAsia" w:ascii="仿宋_GB2312" w:hAnsi="仿宋_GB2312" w:eastAsia="仿宋_GB2312" w:cs="仿宋_GB2312"/>
                <w:sz w:val="24"/>
              </w:rPr>
            </w:pPr>
          </w:p>
        </w:tc>
      </w:tr>
    </w:tbl>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备注：1. 托幼机构总分达到80分及以上，并且“必达项目”全部通过，才可评价为</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       “合格”。</w:t>
      </w:r>
    </w:p>
    <w:p>
      <w:pPr>
        <w:spacing w:line="360" w:lineRule="auto"/>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2. 若托幼机构不提供儿童膳食，则不予评价食堂卫生、工作人员健康检查和</w:t>
      </w:r>
    </w:p>
    <w:p>
      <w:pPr>
        <w:spacing w:line="360" w:lineRule="auto"/>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 xml:space="preserve">   卫生保健制度的相应部分。托幼机构分数达到剩余项目总分的80%及以上，</w:t>
      </w:r>
    </w:p>
    <w:p>
      <w:pPr>
        <w:spacing w:line="360" w:lineRule="auto"/>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 xml:space="preserve">   并且“必达项目”全部通过，才可评价为“合格”。</w:t>
      </w:r>
    </w:p>
    <w:p>
      <w:pPr>
        <w:spacing w:line="360" w:lineRule="auto"/>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3. 如果评价结果为“不合格”，托幼机构应当根据评价报告给予的整改意见和</w:t>
      </w:r>
    </w:p>
    <w:p>
      <w:pPr>
        <w:spacing w:line="360" w:lineRule="auto"/>
        <w:ind w:firstLine="720" w:firstLineChars="300"/>
        <w:rPr>
          <w:rFonts w:hint="eastAsia" w:ascii="仿宋_GB2312" w:hAnsi="仿宋_GB2312" w:eastAsia="仿宋_GB2312" w:cs="仿宋_GB2312"/>
        </w:rPr>
      </w:pPr>
      <w:r>
        <w:rPr>
          <w:rFonts w:hint="eastAsia" w:ascii="仿宋_GB2312" w:hAnsi="仿宋_GB2312" w:eastAsia="仿宋_GB2312" w:cs="仿宋_GB2312"/>
          <w:sz w:val="24"/>
        </w:rPr>
        <w:t xml:space="preserve">   指导，整改后可重新申请卫生评价。</w:t>
      </w:r>
    </w:p>
    <w:p>
      <w:pPr>
        <w:spacing w:line="360" w:lineRule="auto"/>
        <w:ind w:firstLine="630" w:firstLineChars="300"/>
        <w:rPr>
          <w:rFonts w:hint="eastAsia" w:ascii="仿宋_GB2312" w:hAnsi="仿宋_GB2312" w:eastAsia="仿宋_GB2312" w:cs="仿宋_GB2312"/>
        </w:rPr>
      </w:pPr>
    </w:p>
    <w:p>
      <w:pPr>
        <w:spacing w:line="360" w:lineRule="auto"/>
        <w:ind w:firstLine="630" w:firstLineChars="300"/>
        <w:rPr>
          <w:rFonts w:hint="eastAsia" w:ascii="仿宋_GB2312" w:hAnsi="仿宋_GB2312" w:eastAsia="仿宋_GB2312" w:cs="仿宋_GB231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ind w:right="600"/>
        <w:rPr>
          <w:rFonts w:hint="eastAsia" w:ascii="仿宋_GB2312" w:eastAsia="仿宋_GB2312"/>
          <w:sz w:val="32"/>
          <w:szCs w:val="32"/>
        </w:rPr>
      </w:pPr>
    </w:p>
    <w:p>
      <w:pPr>
        <w:snapToGrid w:val="0"/>
        <w:spacing w:before="468" w:beforeLines="150"/>
        <w:ind w:right="600"/>
        <w:rPr>
          <w:rFonts w:hint="eastAsia" w:ascii="仿宋_GB2312" w:eastAsia="仿宋_GB2312"/>
          <w:sz w:val="32"/>
          <w:szCs w:val="32"/>
        </w:rPr>
      </w:pPr>
      <w:r>
        <w:rPr>
          <w:rFonts w:hint="eastAsia" w:ascii="仿宋_GB2312" w:eastAsia="仿宋_GB2312"/>
          <w:sz w:val="32"/>
          <w:szCs w:val="32"/>
        </w:rPr>
        <w:t>（此件公开发布）</w:t>
      </w:r>
    </w:p>
    <w:p>
      <w:pPr>
        <w:ind w:right="24"/>
        <w:rPr>
          <w:rFonts w:hint="eastAsia" w:ascii="仿宋_GB2312" w:eastAsia="仿宋_GB2312"/>
          <w:sz w:val="28"/>
          <w:szCs w:val="28"/>
          <w:u w:val="single"/>
        </w:rPr>
      </w:pPr>
      <w:r>
        <w:rPr>
          <w:rFonts w:hint="eastAsia" w:ascii="仿宋_GB2312" w:eastAsia="仿宋_GB2312"/>
          <w:sz w:val="28"/>
          <w:szCs w:val="28"/>
          <w:u w:val="single"/>
        </w:rPr>
        <w:t xml:space="preserve">                                                                     </w:t>
      </w:r>
    </w:p>
    <w:p>
      <w:pPr>
        <w:ind w:right="24"/>
        <w:rPr>
          <w:rFonts w:hint="eastAsia" w:ascii="仿宋_GB2312" w:eastAsia="仿宋_GB2312"/>
          <w:sz w:val="32"/>
          <w:szCs w:val="32"/>
        </w:rPr>
      </w:pPr>
      <w:r>
        <w:rPr>
          <w:rFonts w:hint="eastAsia" w:ascii="仿宋_GB2312" w:eastAsia="仿宋_GB2312"/>
          <w:sz w:val="28"/>
          <w:szCs w:val="28"/>
          <w:u w:val="single"/>
        </w:rPr>
        <w:t xml:space="preserve">  北京市卫生健康委办公室                  2021年1月19日印发        </w:t>
      </w:r>
    </w:p>
    <w:p/>
    <w:sectPr>
      <w:footerReference r:id="rId3" w:type="default"/>
      <w:footerReference r:id="rId4" w:type="even"/>
      <w:pgSz w:w="11906" w:h="16838"/>
      <w:pgMar w:top="2098" w:right="1474" w:bottom="1984" w:left="1588" w:header="851" w:footer="153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体-PUA">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PUA" w:eastAsia="宋体-PUA"/>
      </w:rPr>
    </w:pPr>
    <w:r>
      <w:rPr>
        <w:rFonts w:hint="eastAsia" w:ascii="宋体" w:hAnsi="宋体" w:cs="宋体"/>
        <w:sz w:val="28"/>
        <w:szCs w:val="28"/>
      </w:rPr>
      <w:fldChar w:fldCharType="begin"/>
    </w:r>
    <w:r>
      <w:rPr>
        <w:rStyle w:val="5"/>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5"/>
        <w:rFonts w:ascii="宋体" w:hAnsi="宋体" w:cs="宋体"/>
        <w:sz w:val="28"/>
        <w:szCs w:val="28"/>
      </w:rPr>
      <w:t>- 11 -</w:t>
    </w:r>
    <w:r>
      <w:rPr>
        <w:rFonts w:hint="eastAsia" w:ascii="宋体" w:hAnsi="宋体" w:cs="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E47B9"/>
    <w:multiLevelType w:val="multilevel"/>
    <w:tmpl w:val="550E47B9"/>
    <w:lvl w:ilvl="0" w:tentative="0">
      <w:start w:val="1"/>
      <w:numFmt w:val="decimal"/>
      <w:lvlText w:val="%1)"/>
      <w:lvlJc w:val="left"/>
      <w:pPr>
        <w:ind w:left="760" w:hanging="420"/>
      </w:p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A4"/>
    <w:rsid w:val="001238A4"/>
    <w:rsid w:val="0092094E"/>
    <w:rsid w:val="00A566B0"/>
    <w:rsid w:val="00A6633C"/>
    <w:rsid w:val="02C04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眉 Char"/>
    <w:basedOn w:val="4"/>
    <w:link w:val="3"/>
    <w:uiPriority w:val="99"/>
    <w:rPr>
      <w:sz w:val="18"/>
      <w:szCs w:val="18"/>
    </w:rPr>
  </w:style>
  <w:style w:type="character" w:customStyle="1" w:styleId="8">
    <w:name w:val="页脚 Char"/>
    <w:basedOn w:val="4"/>
    <w:link w:val="2"/>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642</Words>
  <Characters>3665</Characters>
  <Lines>30</Lines>
  <Paragraphs>8</Paragraphs>
  <TotalTime>3</TotalTime>
  <ScaleCrop>false</ScaleCrop>
  <LinksUpToDate>false</LinksUpToDate>
  <CharactersWithSpaces>4299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2021-01-20T04:38:00Z</dcterms:created>
  <dc:creator>网络部公用机</dc:creator>
  <cp:lastModifiedBy>Wuxiaojie</cp:lastModifiedBy>
  <dcterms:modified xsi:type="dcterms:W3CDTF">2021-01-20T05:42:16Z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