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0" w:firstLineChars="200"/>
        <w:rPr>
          <w:rFonts w:ascii="仿宋_GB2312" w:hAnsi="黑体" w:eastAsia="仿宋_GB2312"/>
          <w:sz w:val="32"/>
          <w:szCs w:val="32"/>
        </w:rPr>
      </w:pPr>
    </w:p>
    <w:p>
      <w:pPr>
        <w:rPr>
          <w:rFonts w:ascii="黑体" w:hAnsi="黑体" w:eastAsia="黑体"/>
          <w:sz w:val="32"/>
          <w:szCs w:val="32"/>
        </w:rPr>
      </w:pPr>
      <w:r>
        <w:rPr>
          <w:rFonts w:hint="eastAsia" w:ascii="黑体" w:hAnsi="黑体" w:eastAsia="黑体"/>
          <w:sz w:val="32"/>
          <w:szCs w:val="32"/>
        </w:rPr>
        <w:t>附件1</w:t>
      </w:r>
    </w:p>
    <w:p>
      <w:pPr>
        <w:jc w:val="center"/>
        <w:rPr>
          <w:rFonts w:ascii="宋体" w:hAnsi="宋体"/>
          <w:sz w:val="28"/>
          <w:szCs w:val="28"/>
        </w:rPr>
      </w:pPr>
      <w:r>
        <w:rPr>
          <w:rFonts w:hint="eastAsia" w:ascii="方正小标宋简体" w:hAnsi="黑体" w:eastAsia="方正小标宋简体"/>
          <w:sz w:val="44"/>
          <w:szCs w:val="44"/>
        </w:rPr>
        <w:t>北京市托育机构质量评价要点（试行）</w:t>
      </w:r>
    </w:p>
    <w:tbl>
      <w:tblPr>
        <w:tblStyle w:val="8"/>
        <w:tblW w:w="9057" w:type="dxa"/>
        <w:jc w:val="center"/>
        <w:tblInd w:w="0" w:type="dxa"/>
        <w:tblLayout w:type="fixed"/>
        <w:tblCellMar>
          <w:top w:w="0" w:type="dxa"/>
          <w:left w:w="0" w:type="dxa"/>
          <w:bottom w:w="0" w:type="dxa"/>
          <w:right w:w="0" w:type="dxa"/>
        </w:tblCellMar>
      </w:tblPr>
      <w:tblGrid>
        <w:gridCol w:w="904"/>
        <w:gridCol w:w="1291"/>
        <w:gridCol w:w="6862"/>
      </w:tblGrid>
      <w:tr>
        <w:tblPrEx>
          <w:tblLayout w:type="fixed"/>
          <w:tblCellMar>
            <w:top w:w="0" w:type="dxa"/>
            <w:left w:w="0" w:type="dxa"/>
            <w:bottom w:w="0" w:type="dxa"/>
            <w:right w:w="0" w:type="dxa"/>
          </w:tblCellMar>
        </w:tblPrEx>
        <w:trPr>
          <w:trHeight w:val="621"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机构管理</w:t>
            </w: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制度与计划</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是否建立了保障机构运行所需的成体系的制度，使各项工作有章可循。各项工作是否具有明确的规划计划，工作能否按照计划有序开展。</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保育管理</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管理者能否对各班的照护活动进行有效的督查和指导。能否有效开展教研活动，解决保育活动中的实际问题。</w:t>
            </w:r>
          </w:p>
        </w:tc>
      </w:tr>
      <w:tr>
        <w:tblPrEx>
          <w:tblLayout w:type="fixed"/>
          <w:tblCellMar>
            <w:top w:w="0" w:type="dxa"/>
            <w:left w:w="0" w:type="dxa"/>
            <w:bottom w:w="0" w:type="dxa"/>
            <w:right w:w="0" w:type="dxa"/>
          </w:tblCellMar>
        </w:tblPrEx>
        <w:trPr>
          <w:trHeight w:val="4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照护理念</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是否具有正确、鲜明的理念，并且落实在机构工作的各个方面。</w:t>
            </w:r>
          </w:p>
        </w:tc>
      </w:tr>
      <w:tr>
        <w:tblPrEx>
          <w:tblLayout w:type="fixed"/>
          <w:tblCellMar>
            <w:top w:w="0" w:type="dxa"/>
            <w:left w:w="0" w:type="dxa"/>
            <w:bottom w:w="0" w:type="dxa"/>
            <w:right w:w="0" w:type="dxa"/>
          </w:tblCellMar>
        </w:tblPrEx>
        <w:trPr>
          <w:trHeight w:val="52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队伍建设</w:t>
            </w: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人员配备与资质</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是否按照国家规定配足、配齐具备资质的工作人员。班级中的托育人员是否不兼任与托育照护无关的其他岗位工作。</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Style w:val="12"/>
                <w:rFonts w:hint="default"/>
                <w:szCs w:val="21"/>
              </w:rPr>
              <w:t>权益保障与工作条件</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b/>
                <w:szCs w:val="21"/>
              </w:rPr>
            </w:pPr>
            <w:r>
              <w:rPr>
                <w:rFonts w:hint="eastAsia" w:ascii="宋体" w:hAnsi="宋体" w:cs="宋体"/>
                <w:b/>
                <w:kern w:val="0"/>
                <w:szCs w:val="21"/>
              </w:rPr>
              <w:t>是否按照《劳动法》的规定与所有员工订立劳动合同、为教职工足项足额购买社保，教职工是否合法享有节假日。</w:t>
            </w:r>
            <w:r>
              <w:rPr>
                <w:rStyle w:val="11"/>
                <w:rFonts w:hint="default"/>
                <w:szCs w:val="21"/>
              </w:rPr>
              <w:t>是否为员工提供充足的工作条件和便利的生活设施。</w:t>
            </w:r>
          </w:p>
        </w:tc>
      </w:tr>
      <w:tr>
        <w:tblPrEx>
          <w:tblLayout w:type="fixed"/>
          <w:tblCellMar>
            <w:top w:w="0" w:type="dxa"/>
            <w:left w:w="0" w:type="dxa"/>
            <w:bottom w:w="0" w:type="dxa"/>
            <w:right w:w="0" w:type="dxa"/>
          </w:tblCellMar>
        </w:tblPrEx>
        <w:trPr>
          <w:trHeight w:val="78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Style w:val="12"/>
                <w:rFonts w:hint="default"/>
                <w:szCs w:val="21"/>
              </w:rPr>
              <w:t>职责与激励</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订立了明确的岗位职责要求，保证各个岗位上的员工明确自身职责和工作要求。能否合理地运用评价手段，有效地激励员工的积极性。能否实施民主、平等的管理方式，为员工提供畅通的沟通渠道，具有融洽的组织氛围。</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专业提升</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员工是否拥有内容丰富、形式多样、具有实效的培训机会。员工能否利用丰富的学习资源服务于自身的专业发展。</w:t>
            </w:r>
          </w:p>
        </w:tc>
      </w:tr>
      <w:tr>
        <w:tblPrEx>
          <w:tblLayout w:type="fixed"/>
          <w:tblCellMar>
            <w:top w:w="0" w:type="dxa"/>
            <w:left w:w="0" w:type="dxa"/>
            <w:bottom w:w="0" w:type="dxa"/>
            <w:right w:w="0" w:type="dxa"/>
          </w:tblCellMar>
        </w:tblPrEx>
        <w:trPr>
          <w:trHeight w:val="511"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照护环境</w:t>
            </w: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空间面积</w:t>
            </w:r>
          </w:p>
          <w:p>
            <w:pPr>
              <w:widowControl/>
              <w:jc w:val="center"/>
              <w:textAlignment w:val="center"/>
              <w:rPr>
                <w:rFonts w:ascii="宋体" w:hAnsi="宋体" w:cs="宋体"/>
                <w:szCs w:val="21"/>
              </w:rPr>
            </w:pPr>
            <w:r>
              <w:rPr>
                <w:rFonts w:hint="eastAsia" w:ascii="宋体" w:hAnsi="宋体" w:cs="宋体"/>
                <w:kern w:val="0"/>
                <w:szCs w:val="21"/>
              </w:rPr>
              <w:t>与规划</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活动空间面积是否充足，是否对空间进行了合理的规划和利用。</w:t>
            </w:r>
          </w:p>
        </w:tc>
      </w:tr>
      <w:tr>
        <w:tblPrEx>
          <w:tblLayout w:type="fixed"/>
          <w:tblCellMar>
            <w:top w:w="0" w:type="dxa"/>
            <w:left w:w="0" w:type="dxa"/>
            <w:bottom w:w="0" w:type="dxa"/>
            <w:right w:w="0" w:type="dxa"/>
          </w:tblCellMar>
        </w:tblPrEx>
        <w:trPr>
          <w:trHeight w:val="457"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环境调节</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各个班级是否具有充足的自然采光、良好的通风条件和温度控制设施。</w:t>
            </w:r>
          </w:p>
        </w:tc>
      </w:tr>
      <w:tr>
        <w:tblPrEx>
          <w:tblLayout w:type="fixed"/>
          <w:tblCellMar>
            <w:top w:w="0" w:type="dxa"/>
            <w:left w:w="0" w:type="dxa"/>
            <w:bottom w:w="0" w:type="dxa"/>
            <w:right w:w="0" w:type="dxa"/>
          </w:tblCellMar>
        </w:tblPrEx>
        <w:trPr>
          <w:trHeight w:val="78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家具、设施</w:t>
            </w:r>
          </w:p>
          <w:p>
            <w:pPr>
              <w:widowControl/>
              <w:jc w:val="center"/>
              <w:textAlignment w:val="center"/>
              <w:rPr>
                <w:rFonts w:ascii="宋体" w:hAnsi="宋体" w:cs="宋体"/>
                <w:szCs w:val="21"/>
              </w:rPr>
            </w:pPr>
            <w:r>
              <w:rPr>
                <w:rFonts w:hint="eastAsia" w:ascii="宋体" w:hAnsi="宋体" w:cs="宋体"/>
                <w:kern w:val="0"/>
                <w:szCs w:val="21"/>
              </w:rPr>
              <w:t>及材料</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机构和班级内的婴幼儿家具、生活照料设施是否充足、适宜。大肌肉活动器材/材料、玩具材料和图书是否数量充足、功能和种类多样，适合婴幼儿使用。能否对各类设施及材料进行良好的保养与维护、更新与添加。</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环境氛围</w:t>
            </w:r>
          </w:p>
          <w:p>
            <w:pPr>
              <w:widowControl/>
              <w:jc w:val="center"/>
              <w:textAlignment w:val="center"/>
              <w:rPr>
                <w:rFonts w:ascii="宋体" w:hAnsi="宋体" w:cs="宋体"/>
                <w:szCs w:val="21"/>
              </w:rPr>
            </w:pPr>
            <w:r>
              <w:rPr>
                <w:rFonts w:hint="eastAsia" w:ascii="宋体" w:hAnsi="宋体" w:cs="宋体"/>
                <w:kern w:val="0"/>
                <w:szCs w:val="21"/>
              </w:rPr>
              <w:t>及灵活性</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物质环境是否温馨舒适。每个班级能否基于教师特点和婴幼儿的需求，形成具有班级特点的环境。</w:t>
            </w:r>
          </w:p>
        </w:tc>
      </w:tr>
      <w:tr>
        <w:tblPrEx>
          <w:tblLayout w:type="fixed"/>
          <w:tblCellMar>
            <w:top w:w="0" w:type="dxa"/>
            <w:left w:w="0" w:type="dxa"/>
            <w:bottom w:w="0" w:type="dxa"/>
            <w:right w:w="0" w:type="dxa"/>
          </w:tblCellMar>
        </w:tblPrEx>
        <w:trPr>
          <w:trHeight w:val="485"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安全保障</w:t>
            </w: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Style w:val="12"/>
                <w:rFonts w:hint="default"/>
                <w:szCs w:val="21"/>
              </w:rPr>
            </w:pPr>
            <w:r>
              <w:rPr>
                <w:rFonts w:hint="eastAsia" w:ascii="宋体" w:hAnsi="宋体" w:cs="宋体"/>
                <w:kern w:val="0"/>
                <w:szCs w:val="21"/>
              </w:rPr>
              <w:t>婴</w:t>
            </w:r>
            <w:r>
              <w:rPr>
                <w:rStyle w:val="12"/>
                <w:rFonts w:hint="default"/>
                <w:szCs w:val="21"/>
              </w:rPr>
              <w:t>幼儿身心</w:t>
            </w:r>
          </w:p>
          <w:p>
            <w:pPr>
              <w:widowControl/>
              <w:jc w:val="center"/>
              <w:textAlignment w:val="center"/>
              <w:rPr>
                <w:rFonts w:ascii="宋体" w:hAnsi="宋体" w:cs="宋体"/>
                <w:szCs w:val="21"/>
              </w:rPr>
            </w:pPr>
            <w:r>
              <w:rPr>
                <w:rStyle w:val="12"/>
                <w:rFonts w:hint="default"/>
                <w:szCs w:val="21"/>
              </w:rPr>
              <w:t>保护</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b/>
                <w:szCs w:val="21"/>
              </w:rPr>
            </w:pPr>
            <w:r>
              <w:rPr>
                <w:rFonts w:hint="eastAsia" w:ascii="宋体" w:hAnsi="宋体" w:cs="宋体"/>
                <w:b/>
                <w:kern w:val="0"/>
                <w:szCs w:val="21"/>
              </w:rPr>
              <w:t>所有工作人员是否无虐待、歧视、体罚或变相体罚等损害婴幼儿身心健康的行为。能否保护婴幼儿及其家庭的隐私信息。是否无威胁婴幼儿安全的设施、设备和物品。是否按照要求配备防暴、消防、报警等安全设施与器材。是否建立婴幼儿生活与活动区域全覆盖的监控系统，且监控资料保留至少90天。是否按照要求接受相关部门的消防检查并合格。</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Style w:val="12"/>
                <w:rFonts w:hint="default"/>
                <w:szCs w:val="21"/>
              </w:rPr>
              <w:t>安全管理制度</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是否制订了具体、全面、符合实际的安全管理制度，配备安全管理责任人、安保和安全检查人员，并明确各自职责和要求。</w:t>
            </w:r>
          </w:p>
        </w:tc>
      </w:tr>
      <w:tr>
        <w:tblPrEx>
          <w:tblLayout w:type="fixed"/>
          <w:tblCellMar>
            <w:top w:w="0" w:type="dxa"/>
            <w:left w:w="0" w:type="dxa"/>
            <w:bottom w:w="0" w:type="dxa"/>
            <w:right w:w="0" w:type="dxa"/>
          </w:tblCellMar>
        </w:tblPrEx>
        <w:trPr>
          <w:trHeight w:val="78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安全检查</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保育人员能否对班级环境、生活设施和用品、活动材料、婴幼儿携带物等进行每日检查。在婴幼儿睡眠期间，保育人员是否进行全程巡视，防止意外事故。能否定期对班级环境、设施设备进行安全检查，发现问题及时处理，并做好检查记录。</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Style w:val="12"/>
                <w:rFonts w:hint="default"/>
                <w:szCs w:val="21"/>
              </w:rPr>
            </w:pPr>
            <w:r>
              <w:rPr>
                <w:rStyle w:val="12"/>
                <w:rFonts w:hint="default"/>
                <w:szCs w:val="21"/>
              </w:rPr>
              <w:t>安全预案</w:t>
            </w:r>
          </w:p>
          <w:p>
            <w:pPr>
              <w:widowControl/>
              <w:jc w:val="center"/>
              <w:textAlignment w:val="center"/>
              <w:rPr>
                <w:rFonts w:ascii="宋体" w:hAnsi="宋体" w:cs="宋体"/>
                <w:szCs w:val="21"/>
              </w:rPr>
            </w:pPr>
            <w:r>
              <w:rPr>
                <w:rStyle w:val="12"/>
                <w:rFonts w:hint="default"/>
                <w:szCs w:val="21"/>
              </w:rPr>
              <w:t>与演习</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是否制订了具体可行的应对火灾、地震、暴恐、自然灾害、意外伤害、食物中毒等情况的安全应急预案。每季度是否组织防火、防暴、防震安全演习，保育人员能否熟知应对各类突发事件的方法。</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Style w:val="12"/>
                <w:rFonts w:hint="default"/>
                <w:szCs w:val="21"/>
              </w:rPr>
              <w:t>安全教育</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能否定期进行安全教育与突发事件应急处理培训，员工能否掌握急救常识，知道基本的防范、避险、逃生、自救方法。在日常生活中能否渗透婴幼儿的安全教育，提高婴幼儿的自我保护能力。</w:t>
            </w:r>
          </w:p>
        </w:tc>
      </w:tr>
      <w:tr>
        <w:tblPrEx>
          <w:tblLayout w:type="fixed"/>
          <w:tblCellMar>
            <w:top w:w="0" w:type="dxa"/>
            <w:left w:w="0" w:type="dxa"/>
            <w:bottom w:w="0" w:type="dxa"/>
            <w:right w:w="0" w:type="dxa"/>
          </w:tblCellMar>
        </w:tblPrEx>
        <w:trPr>
          <w:trHeight w:val="639"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卫生保健</w:t>
            </w: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Style w:val="12"/>
                <w:rFonts w:hint="default"/>
                <w:szCs w:val="21"/>
              </w:rPr>
              <w:t>保健室配备</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保健室是否配备基本的办公、消毒用品，以及卫生、安全、专用的健康检查用品。</w:t>
            </w:r>
          </w:p>
        </w:tc>
      </w:tr>
      <w:tr>
        <w:tblPrEx>
          <w:tblLayout w:type="fixed"/>
          <w:tblCellMar>
            <w:top w:w="0" w:type="dxa"/>
            <w:left w:w="0" w:type="dxa"/>
            <w:bottom w:w="0" w:type="dxa"/>
            <w:right w:w="0" w:type="dxa"/>
          </w:tblCellMar>
        </w:tblPrEx>
        <w:trPr>
          <w:trHeight w:val="78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卫生与消毒</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室内外卫生设备是否齐全。是否制订了室内外卫生清扫、消毒和检查制度，并定期以正确、规范的流程对环境、设施实施消毒。婴幼儿日常生活用品能否做到专人专用，婴幼儿及工作人员是否具有良好的个人卫生习惯。</w:t>
            </w:r>
          </w:p>
        </w:tc>
      </w:tr>
      <w:tr>
        <w:tblPrEx>
          <w:tblLayout w:type="fixed"/>
          <w:tblCellMar>
            <w:top w:w="0" w:type="dxa"/>
            <w:left w:w="0" w:type="dxa"/>
            <w:bottom w:w="0" w:type="dxa"/>
            <w:right w:w="0" w:type="dxa"/>
          </w:tblCellMar>
        </w:tblPrEx>
        <w:trPr>
          <w:trHeight w:val="78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健康检查</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b/>
                <w:szCs w:val="21"/>
              </w:rPr>
            </w:pPr>
            <w:r>
              <w:rPr>
                <w:rFonts w:hint="eastAsia" w:ascii="宋体" w:hAnsi="宋体" w:cs="宋体"/>
                <w:b/>
                <w:kern w:val="0"/>
                <w:szCs w:val="21"/>
              </w:rPr>
              <w:t>所有工作人员是否进行岗前检查取得相关健康证，并定期接受健康检查。入托前是否查验婴幼儿的《预防接种证》、体检表。</w:t>
            </w:r>
            <w:r>
              <w:rPr>
                <w:rStyle w:val="11"/>
                <w:rFonts w:hint="default"/>
                <w:szCs w:val="21"/>
              </w:rPr>
              <w:t>是否对入托婴幼儿定期进行健康检查。能否每天规范地开展晨午检及全日健康检查，了解婴幼儿的健康状况。</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Style w:val="12"/>
                <w:rFonts w:hint="default"/>
                <w:szCs w:val="21"/>
              </w:rPr>
            </w:pPr>
            <w:r>
              <w:rPr>
                <w:rStyle w:val="12"/>
                <w:rFonts w:hint="default"/>
                <w:szCs w:val="21"/>
              </w:rPr>
              <w:t>健康档案与</w:t>
            </w:r>
          </w:p>
          <w:p>
            <w:pPr>
              <w:widowControl/>
              <w:jc w:val="center"/>
              <w:textAlignment w:val="center"/>
              <w:rPr>
                <w:rFonts w:ascii="宋体" w:hAnsi="宋体" w:cs="宋体"/>
                <w:szCs w:val="21"/>
              </w:rPr>
            </w:pPr>
            <w:r>
              <w:rPr>
                <w:rStyle w:val="12"/>
                <w:rFonts w:hint="default"/>
                <w:szCs w:val="21"/>
              </w:rPr>
              <w:t>工作记录</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是否建立了完整的健康档案和涵盖卫生保健工作各方面内容的工作记录，档案和记录是否真实、规范、清晰，且能够进行定期的分析回顾，发现并解决问题。</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Style w:val="12"/>
                <w:rFonts w:hint="default"/>
                <w:szCs w:val="21"/>
              </w:rPr>
            </w:pPr>
            <w:r>
              <w:rPr>
                <w:rStyle w:val="12"/>
                <w:rFonts w:hint="default"/>
                <w:szCs w:val="21"/>
              </w:rPr>
              <w:t>疾病防控</w:t>
            </w:r>
          </w:p>
          <w:p>
            <w:pPr>
              <w:widowControl/>
              <w:jc w:val="center"/>
              <w:textAlignment w:val="center"/>
              <w:rPr>
                <w:rFonts w:ascii="宋体" w:hAnsi="宋体" w:cs="宋体"/>
                <w:szCs w:val="21"/>
              </w:rPr>
            </w:pPr>
            <w:r>
              <w:rPr>
                <w:rStyle w:val="12"/>
                <w:rFonts w:hint="default"/>
                <w:szCs w:val="21"/>
              </w:rPr>
              <w:t>与管理</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是否制订了传染病预防与控制制度，并能严格执行。是否制定了婴幼儿常见疾病的预防及处理方法，员工能够熟练掌握。</w:t>
            </w:r>
          </w:p>
        </w:tc>
      </w:tr>
      <w:tr>
        <w:tblPrEx>
          <w:tblLayout w:type="fixed"/>
          <w:tblCellMar>
            <w:top w:w="0" w:type="dxa"/>
            <w:left w:w="0" w:type="dxa"/>
            <w:bottom w:w="0" w:type="dxa"/>
            <w:right w:w="0" w:type="dxa"/>
          </w:tblCellMar>
        </w:tblPrEx>
        <w:trPr>
          <w:trHeight w:val="78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Style w:val="12"/>
                <w:rFonts w:hint="default"/>
                <w:szCs w:val="21"/>
              </w:rPr>
              <w:t>儿童膳食</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b/>
                <w:szCs w:val="21"/>
              </w:rPr>
            </w:pPr>
            <w:r>
              <w:rPr>
                <w:rFonts w:hint="eastAsia" w:ascii="宋体" w:hAnsi="宋体" w:cs="宋体"/>
                <w:b/>
                <w:kern w:val="0"/>
                <w:szCs w:val="21"/>
              </w:rPr>
              <w:t>是否制订了食品安全管理制度，食堂或送餐公司是否取得相应资质，饮用水是否符合国家相关标准，能否严格按照规定进行食品留样。</w:t>
            </w:r>
            <w:r>
              <w:rPr>
                <w:rStyle w:val="11"/>
                <w:rFonts w:hint="default"/>
                <w:szCs w:val="21"/>
              </w:rPr>
              <w:t>是否为母乳或者奶粉喂养提供方便，支持母乳喂养。能否为不同年龄段的婴幼儿科学制定多样化食谱，并定期更换。</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Style w:val="12"/>
                <w:rFonts w:hint="default"/>
                <w:szCs w:val="21"/>
              </w:rPr>
              <w:t>健康教育</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能否根据不同季节制定健康教育工作计划，注重在一日生活中培养婴幼儿的生活卫生习惯，渗透健康教育。能否以多种形式定期对员工及家长开展内容丰富的健康教育知识宣传和培训。</w:t>
            </w:r>
          </w:p>
        </w:tc>
      </w:tr>
      <w:tr>
        <w:tblPrEx>
          <w:tblLayout w:type="fixed"/>
          <w:tblCellMar>
            <w:top w:w="0" w:type="dxa"/>
            <w:left w:w="0" w:type="dxa"/>
            <w:bottom w:w="0" w:type="dxa"/>
            <w:right w:w="0" w:type="dxa"/>
          </w:tblCellMar>
        </w:tblPrEx>
        <w:trPr>
          <w:trHeight w:val="484"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家长社区合作</w:t>
            </w: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协议签订</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是否与家长或婴幼儿监护人签订协议，明确双方的权利、责任、义务。</w:t>
            </w:r>
          </w:p>
        </w:tc>
      </w:tr>
      <w:tr>
        <w:tblPrEx>
          <w:tblLayout w:type="fixed"/>
          <w:tblCellMar>
            <w:top w:w="0" w:type="dxa"/>
            <w:left w:w="0" w:type="dxa"/>
            <w:bottom w:w="0" w:type="dxa"/>
            <w:right w:w="0" w:type="dxa"/>
          </w:tblCellMar>
        </w:tblPrEx>
        <w:trPr>
          <w:trHeight w:val="698"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Style w:val="12"/>
                <w:rFonts w:hint="default"/>
                <w:szCs w:val="21"/>
              </w:rPr>
            </w:pPr>
            <w:r>
              <w:rPr>
                <w:rStyle w:val="12"/>
                <w:rFonts w:hint="default"/>
                <w:szCs w:val="21"/>
              </w:rPr>
              <w:t>家长互动与</w:t>
            </w:r>
          </w:p>
          <w:p>
            <w:pPr>
              <w:widowControl/>
              <w:jc w:val="center"/>
              <w:textAlignment w:val="center"/>
              <w:rPr>
                <w:rFonts w:ascii="宋体" w:hAnsi="宋体" w:cs="宋体"/>
                <w:szCs w:val="21"/>
              </w:rPr>
            </w:pPr>
            <w:r>
              <w:rPr>
                <w:rStyle w:val="12"/>
                <w:rFonts w:hint="default"/>
                <w:szCs w:val="21"/>
              </w:rPr>
              <w:t>育儿指导</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能否通过多种形式与家长沟通，沟通内容全面，在照护理念与方法上努力与家长达成共识。能否采用多种形式为家庭提供育儿咨询指导或者相关资源，提高家长的育儿能力。能否组织多种活动，促进家长的参与。</w:t>
            </w:r>
          </w:p>
        </w:tc>
      </w:tr>
      <w:tr>
        <w:tblPrEx>
          <w:tblLayout w:type="fixed"/>
          <w:tblCellMar>
            <w:top w:w="0" w:type="dxa"/>
            <w:left w:w="0" w:type="dxa"/>
            <w:bottom w:w="0" w:type="dxa"/>
            <w:right w:w="0" w:type="dxa"/>
          </w:tblCellMar>
        </w:tblPrEx>
        <w:trPr>
          <w:trHeight w:val="543"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Style w:val="12"/>
                <w:rFonts w:hint="default"/>
                <w:szCs w:val="21"/>
              </w:rPr>
              <w:t>社区合作</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能否发挥专业优势，了解周边社区家长的育儿需求，提供指导服务。能否与周边社区的其他组织或机构建立伙伴关系，开展合作。</w:t>
            </w:r>
          </w:p>
        </w:tc>
      </w:tr>
      <w:tr>
        <w:tblPrEx>
          <w:tblLayout w:type="fixed"/>
          <w:tblCellMar>
            <w:top w:w="0" w:type="dxa"/>
            <w:left w:w="0" w:type="dxa"/>
            <w:bottom w:w="0" w:type="dxa"/>
            <w:right w:w="0" w:type="dxa"/>
          </w:tblCellMar>
        </w:tblPrEx>
        <w:trPr>
          <w:trHeight w:val="520"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照护活动</w:t>
            </w: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一日安排</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能否根据不同年龄婴幼儿的生理和心理发展特点，合理安排一日生活和活动，保证其在机构内生活的规律性和稳定性，并能根据婴幼儿的个别需求灵活调整一日作息安排。</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保育计划</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能否遵循婴幼儿成长特点和规律，安排适宜的活动，促进全面发展。能否关注个体差异，有针对性地制定照护计划，满足婴幼儿的个别化需求。</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生活照料</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能否尊重和顺应婴幼儿的生理节律，进行良好的生活照料，并注意培养婴幼儿的自理能力、养成良好习惯。在生活照料中能否与婴幼儿进行一对一的交流互动，有效地支持其各方面的成长和发展。</w:t>
            </w:r>
          </w:p>
        </w:tc>
      </w:tr>
      <w:tr>
        <w:tblPrEx>
          <w:tblLayout w:type="fixed"/>
          <w:tblCellMar>
            <w:top w:w="0" w:type="dxa"/>
            <w:left w:w="0" w:type="dxa"/>
            <w:bottom w:w="0" w:type="dxa"/>
            <w:right w:w="0" w:type="dxa"/>
          </w:tblCellMar>
        </w:tblPrEx>
        <w:trPr>
          <w:trHeight w:val="569"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情感氛围</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能否为婴幼儿创设温暖、尊重、愉悦的心理环境，与婴幼儿建立信任和情感联结，使其有安全感，乐于与他人交流互动。</w:t>
            </w:r>
          </w:p>
        </w:tc>
      </w:tr>
      <w:tr>
        <w:tblPrEx>
          <w:tblLayout w:type="fixed"/>
          <w:tblCellMar>
            <w:top w:w="0" w:type="dxa"/>
            <w:left w:w="0" w:type="dxa"/>
            <w:bottom w:w="0" w:type="dxa"/>
            <w:right w:w="0" w:type="dxa"/>
          </w:tblCellMar>
        </w:tblPrEx>
        <w:trPr>
          <w:trHeight w:val="520"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保育人员</w:t>
            </w:r>
          </w:p>
          <w:p>
            <w:pPr>
              <w:widowControl/>
              <w:jc w:val="center"/>
              <w:textAlignment w:val="center"/>
              <w:rPr>
                <w:rFonts w:ascii="宋体" w:hAnsi="宋体" w:cs="宋体"/>
                <w:szCs w:val="21"/>
              </w:rPr>
            </w:pPr>
            <w:r>
              <w:rPr>
                <w:rFonts w:hint="eastAsia" w:ascii="宋体" w:hAnsi="宋体" w:cs="宋体"/>
                <w:kern w:val="0"/>
                <w:szCs w:val="21"/>
              </w:rPr>
              <w:t>的敏感性</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保育人员能否理解婴幼儿的言语和非言语表达，敏感观察婴幼儿，理解其生理和心理需求，并及时给予适宜的回应。</w:t>
            </w:r>
          </w:p>
        </w:tc>
      </w:tr>
      <w:tr>
        <w:tblPrEx>
          <w:tblLayout w:type="fixed"/>
          <w:tblCellMar>
            <w:top w:w="0" w:type="dxa"/>
            <w:left w:w="0" w:type="dxa"/>
            <w:bottom w:w="0" w:type="dxa"/>
            <w:right w:w="0" w:type="dxa"/>
          </w:tblCellMar>
        </w:tblPrEx>
        <w:trPr>
          <w:trHeight w:val="624"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rPr>
              <w:t>照护的稳定性</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保育人员和各班婴幼儿的安排是否具有较长期的稳定性,促使保育人员与婴幼儿及其家长建立良好关系。各班是否建立较为稳定的常规，让婴幼儿熟悉并适应于其中。</w:t>
            </w:r>
          </w:p>
        </w:tc>
      </w:tr>
      <w:tr>
        <w:tblPrEx>
          <w:tblLayout w:type="fixed"/>
          <w:tblCellMar>
            <w:top w:w="0" w:type="dxa"/>
            <w:left w:w="0" w:type="dxa"/>
            <w:bottom w:w="0" w:type="dxa"/>
            <w:right w:w="0" w:type="dxa"/>
          </w:tblCellMar>
        </w:tblPrEx>
        <w:trPr>
          <w:trHeight w:val="635"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szCs w:val="21"/>
              </w:rPr>
            </w:pPr>
          </w:p>
        </w:tc>
        <w:tc>
          <w:tcPr>
            <w:tcW w:w="12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婴幼儿观察</w:t>
            </w:r>
          </w:p>
          <w:p>
            <w:pPr>
              <w:widowControl/>
              <w:jc w:val="center"/>
              <w:textAlignment w:val="center"/>
              <w:rPr>
                <w:rFonts w:ascii="宋体" w:hAnsi="宋体" w:cs="宋体"/>
                <w:szCs w:val="21"/>
              </w:rPr>
            </w:pPr>
            <w:r>
              <w:rPr>
                <w:rFonts w:hint="eastAsia" w:ascii="宋体" w:hAnsi="宋体" w:cs="宋体"/>
                <w:kern w:val="0"/>
                <w:szCs w:val="21"/>
              </w:rPr>
              <w:t>与评价</w:t>
            </w:r>
          </w:p>
        </w:tc>
        <w:tc>
          <w:tcPr>
            <w:tcW w:w="68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宋体" w:hAnsi="宋体" w:cs="宋体"/>
                <w:szCs w:val="21"/>
              </w:rPr>
            </w:pPr>
            <w:r>
              <w:rPr>
                <w:rFonts w:hint="eastAsia" w:ascii="宋体" w:hAnsi="宋体" w:cs="宋体"/>
                <w:kern w:val="0"/>
                <w:szCs w:val="21"/>
              </w:rPr>
              <w:t>保育人员是否注重观察和分析婴幼儿的行为表现、兴趣、个性特征、发展状况，并基于观察进行适当的引导。机构是否定期开展婴幼儿生长发育筛查，为有特殊需要的婴幼儿提供转介和相关服务。</w:t>
            </w:r>
          </w:p>
        </w:tc>
      </w:tr>
    </w:tbl>
    <w:p>
      <w:pPr>
        <w:rPr>
          <w:rFonts w:hint="eastAsia" w:ascii="宋体" w:hAnsi="宋体" w:cs="宋体"/>
          <w:sz w:val="28"/>
          <w:szCs w:val="28"/>
        </w:rPr>
      </w:pPr>
      <w:r>
        <w:rPr>
          <w:rFonts w:hint="eastAsia" w:ascii="宋体" w:hAnsi="宋体" w:cs="宋体"/>
          <w:sz w:val="28"/>
          <w:szCs w:val="28"/>
        </w:rPr>
        <w:t xml:space="preserve"> </w:t>
      </w:r>
    </w:p>
    <w:p>
      <w:pPr>
        <w:rPr>
          <w:rFonts w:hint="eastAsia" w:ascii="宋体" w:hAnsi="宋体" w:cs="宋体"/>
          <w:sz w:val="24"/>
        </w:rPr>
      </w:pPr>
      <w:r>
        <w:rPr>
          <w:rFonts w:hint="eastAsia" w:ascii="宋体" w:hAnsi="宋体" w:cs="宋体"/>
          <w:sz w:val="24"/>
        </w:rPr>
        <w:t>注：表格中</w:t>
      </w:r>
      <w:r>
        <w:rPr>
          <w:rFonts w:hint="eastAsia" w:ascii="宋体" w:hAnsi="宋体" w:cs="宋体"/>
          <w:b/>
          <w:bCs/>
          <w:sz w:val="24"/>
        </w:rPr>
        <w:t>加粗字体为</w:t>
      </w:r>
      <w:r>
        <w:rPr>
          <w:rFonts w:hint="eastAsia" w:ascii="宋体" w:hAnsi="宋体" w:cs="宋体"/>
          <w:sz w:val="24"/>
        </w:rPr>
        <w:t>“必达项”</w:t>
      </w: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rPr>
          <w:rFonts w:ascii="仿宋_GB2312" w:hAnsi="黑体" w:eastAsia="仿宋_GB2312"/>
          <w:sz w:val="32"/>
          <w:szCs w:val="32"/>
        </w:rPr>
      </w:pPr>
    </w:p>
    <w:p>
      <w:pPr>
        <w:spacing w:line="570" w:lineRule="exact"/>
        <w:rPr>
          <w:rFonts w:ascii="仿宋_GB2312" w:hAnsi="黑体" w:eastAsia="仿宋_GB2312"/>
          <w:sz w:val="32"/>
          <w:szCs w:val="32"/>
        </w:rPr>
      </w:pPr>
    </w:p>
    <w:p>
      <w:pPr>
        <w:spacing w:line="570" w:lineRule="exact"/>
        <w:rPr>
          <w:rFonts w:ascii="仿宋_GB2312" w:hAnsi="黑体" w:eastAsia="仿宋_GB2312"/>
          <w:sz w:val="32"/>
          <w:szCs w:val="32"/>
        </w:rPr>
      </w:pPr>
    </w:p>
    <w:p>
      <w:pPr>
        <w:spacing w:line="570" w:lineRule="exact"/>
        <w:rPr>
          <w:rFonts w:ascii="仿宋_GB2312" w:hAnsi="黑体" w:eastAsia="仿宋_GB2312"/>
          <w:sz w:val="32"/>
          <w:szCs w:val="32"/>
        </w:rPr>
      </w:pPr>
    </w:p>
    <w:p>
      <w:pPr>
        <w:spacing w:line="570" w:lineRule="exact"/>
        <w:rPr>
          <w:rFonts w:ascii="仿宋_GB2312" w:hAnsi="黑体" w:eastAsia="仿宋_GB2312"/>
          <w:sz w:val="32"/>
          <w:szCs w:val="32"/>
        </w:rPr>
      </w:pPr>
    </w:p>
    <w:p>
      <w:pPr>
        <w:spacing w:line="360" w:lineRule="auto"/>
        <w:rPr>
          <w:rFonts w:hint="eastAsia" w:ascii="黑体" w:hAnsi="黑体" w:eastAsia="黑体" w:cs="黑体"/>
          <w:kern w:val="0"/>
          <w:sz w:val="32"/>
          <w:szCs w:val="32"/>
          <w:lang w:val="zh-CN"/>
        </w:rPr>
      </w:pPr>
    </w:p>
    <w:p>
      <w:pPr>
        <w:spacing w:line="360" w:lineRule="auto"/>
        <w:rPr>
          <w:rFonts w:hint="eastAsia" w:ascii="黑体" w:hAnsi="黑体" w:eastAsia="黑体" w:cs="黑体"/>
          <w:kern w:val="0"/>
          <w:sz w:val="32"/>
          <w:szCs w:val="32"/>
          <w:lang w:val="zh-CN"/>
        </w:rPr>
      </w:pPr>
    </w:p>
    <w:p>
      <w:pPr>
        <w:spacing w:line="360" w:lineRule="auto"/>
        <w:rPr>
          <w:rFonts w:ascii="黑体" w:hAnsi="黑体" w:eastAsia="黑体" w:cs="黑体"/>
          <w:kern w:val="0"/>
          <w:sz w:val="32"/>
          <w:szCs w:val="32"/>
        </w:rPr>
      </w:pPr>
      <w:r>
        <w:rPr>
          <w:rFonts w:hint="eastAsia" w:ascii="黑体" w:hAnsi="黑体" w:eastAsia="黑体" w:cs="黑体"/>
          <w:kern w:val="0"/>
          <w:sz w:val="32"/>
          <w:szCs w:val="32"/>
          <w:lang w:val="zh-CN"/>
        </w:rPr>
        <w:t>附件</w:t>
      </w:r>
      <w:r>
        <w:rPr>
          <w:rFonts w:ascii="黑体" w:hAnsi="黑体" w:eastAsia="黑体" w:cs="黑体"/>
          <w:kern w:val="0"/>
          <w:sz w:val="32"/>
          <w:szCs w:val="32"/>
        </w:rPr>
        <w:t>2</w:t>
      </w: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北京市示范性托育机构申报表</w:t>
      </w:r>
    </w:p>
    <w:tbl>
      <w:tblPr>
        <w:tblStyle w:val="8"/>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88"/>
        <w:gridCol w:w="2269"/>
        <w:gridCol w:w="1909"/>
        <w:gridCol w:w="287"/>
        <w:gridCol w:w="1159"/>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60" w:type="dxa"/>
            <w:gridSpan w:val="2"/>
            <w:vAlign w:val="center"/>
          </w:tcPr>
          <w:p>
            <w:pPr>
              <w:snapToGrid w:val="0"/>
              <w:spacing w:line="360" w:lineRule="auto"/>
              <w:jc w:val="center"/>
              <w:outlineLvl w:val="0"/>
              <w:rPr>
                <w:rFonts w:hint="eastAsia" w:ascii="仿宋_GB2312" w:hAnsi="仿宋_GB2312" w:eastAsia="仿宋_GB2312" w:cs="仿宋_GB2312"/>
                <w:b/>
                <w:bCs/>
                <w:sz w:val="24"/>
              </w:rPr>
            </w:pPr>
            <w:r>
              <w:rPr>
                <w:rFonts w:hint="eastAsia" w:ascii="宋体" w:hAnsi="宋体" w:cs="宋体"/>
                <w:b/>
                <w:bCs/>
                <w:sz w:val="24"/>
              </w:rPr>
              <w:t>机构（园所）名称</w:t>
            </w:r>
          </w:p>
        </w:tc>
        <w:tc>
          <w:tcPr>
            <w:tcW w:w="7780" w:type="dxa"/>
            <w:gridSpan w:val="5"/>
            <w:vAlign w:val="center"/>
          </w:tcPr>
          <w:p>
            <w:pPr>
              <w:snapToGrid w:val="0"/>
              <w:spacing w:line="360" w:lineRule="auto"/>
              <w:outlineLvl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460" w:type="dxa"/>
            <w:gridSpan w:val="2"/>
            <w:vAlign w:val="center"/>
          </w:tcPr>
          <w:p>
            <w:pPr>
              <w:snapToGrid w:val="0"/>
              <w:spacing w:before="62" w:beforeLines="20"/>
              <w:jc w:val="center"/>
              <w:rPr>
                <w:rFonts w:hint="eastAsia" w:ascii="宋体" w:hAnsi="宋体" w:cs="宋体"/>
                <w:b/>
                <w:bCs/>
                <w:sz w:val="24"/>
              </w:rPr>
            </w:pPr>
            <w:r>
              <w:rPr>
                <w:rFonts w:hint="eastAsia" w:ascii="宋体" w:hAnsi="宋体" w:cs="宋体"/>
                <w:b/>
                <w:bCs/>
                <w:sz w:val="24"/>
              </w:rPr>
              <w:t>统一社会</w:t>
            </w:r>
          </w:p>
          <w:p>
            <w:pPr>
              <w:snapToGrid w:val="0"/>
              <w:spacing w:before="62" w:beforeLines="20"/>
              <w:jc w:val="center"/>
              <w:rPr>
                <w:rFonts w:hint="eastAsia" w:ascii="宋体" w:hAnsi="宋体" w:cs="宋体"/>
                <w:b/>
                <w:bCs/>
                <w:sz w:val="24"/>
              </w:rPr>
            </w:pPr>
            <w:r>
              <w:rPr>
                <w:rFonts w:hint="eastAsia" w:ascii="宋体" w:hAnsi="宋体" w:cs="宋体"/>
                <w:b/>
                <w:bCs/>
                <w:sz w:val="24"/>
              </w:rPr>
              <w:t>信用代码</w:t>
            </w:r>
          </w:p>
        </w:tc>
        <w:tc>
          <w:tcPr>
            <w:tcW w:w="4178" w:type="dxa"/>
            <w:gridSpan w:val="2"/>
          </w:tcPr>
          <w:p>
            <w:pPr>
              <w:snapToGrid w:val="0"/>
              <w:spacing w:before="62" w:beforeLines="20"/>
              <w:jc w:val="center"/>
              <w:rPr>
                <w:rFonts w:hint="eastAsia" w:ascii="仿宋_GB2312" w:hAnsi="仿宋_GB2312" w:eastAsia="仿宋_GB2312" w:cs="仿宋_GB2312"/>
                <w:sz w:val="24"/>
              </w:rPr>
            </w:pPr>
          </w:p>
        </w:tc>
        <w:tc>
          <w:tcPr>
            <w:tcW w:w="1446" w:type="dxa"/>
            <w:gridSpan w:val="2"/>
            <w:vAlign w:val="center"/>
          </w:tcPr>
          <w:p>
            <w:pPr>
              <w:adjustRightInd w:val="0"/>
              <w:snapToGrid w:val="0"/>
              <w:spacing w:before="62" w:beforeLines="20"/>
              <w:jc w:val="center"/>
              <w:rPr>
                <w:rFonts w:hint="eastAsia" w:ascii="宋体" w:hAnsi="宋体" w:cs="宋体"/>
                <w:b/>
                <w:bCs/>
                <w:sz w:val="24"/>
              </w:rPr>
            </w:pPr>
            <w:r>
              <w:rPr>
                <w:rFonts w:hint="eastAsia" w:ascii="宋体" w:hAnsi="宋体" w:cs="宋体"/>
                <w:b/>
                <w:bCs/>
                <w:sz w:val="24"/>
              </w:rPr>
              <w:t>成立时间</w:t>
            </w:r>
          </w:p>
        </w:tc>
        <w:tc>
          <w:tcPr>
            <w:tcW w:w="2156" w:type="dxa"/>
            <w:vAlign w:val="center"/>
          </w:tcPr>
          <w:p>
            <w:pPr>
              <w:adjustRightInd w:val="0"/>
              <w:snapToGrid w:val="0"/>
              <w:spacing w:before="62" w:beforeLines="2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460" w:type="dxa"/>
            <w:gridSpan w:val="2"/>
            <w:vAlign w:val="center"/>
          </w:tcPr>
          <w:p>
            <w:pPr>
              <w:snapToGrid w:val="0"/>
              <w:spacing w:before="62" w:beforeLines="20"/>
              <w:jc w:val="center"/>
              <w:rPr>
                <w:rFonts w:hint="eastAsia" w:ascii="宋体" w:hAnsi="宋体" w:cs="宋体"/>
                <w:sz w:val="24"/>
              </w:rPr>
            </w:pPr>
            <w:r>
              <w:rPr>
                <w:rFonts w:hint="eastAsia" w:ascii="宋体" w:hAnsi="宋体" w:cs="宋体"/>
                <w:b/>
                <w:bCs/>
                <w:sz w:val="24"/>
              </w:rPr>
              <w:t>机构类型</w:t>
            </w:r>
          </w:p>
        </w:tc>
        <w:tc>
          <w:tcPr>
            <w:tcW w:w="4178" w:type="dxa"/>
            <w:gridSpan w:val="2"/>
          </w:tcPr>
          <w:p>
            <w:pPr>
              <w:adjustRightInd w:val="0"/>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□事业单位     □民办非企业</w:t>
            </w:r>
          </w:p>
          <w:p>
            <w:pPr>
              <w:adjustRightInd w:val="0"/>
              <w:snapToGrid w:val="0"/>
              <w:spacing w:before="62" w:beforeLines="20"/>
              <w:rPr>
                <w:rFonts w:ascii="仿宋_GB2312" w:hAnsi="仿宋_GB2312" w:eastAsia="仿宋_GB2312" w:cs="仿宋_GB2312"/>
                <w:sz w:val="24"/>
              </w:rPr>
            </w:pPr>
            <w:r>
              <w:rPr>
                <w:rFonts w:hint="eastAsia" w:ascii="仿宋_GB2312" w:hAnsi="仿宋_GB2312" w:eastAsia="仿宋_GB2312" w:cs="仿宋_GB2312"/>
                <w:sz w:val="24"/>
              </w:rPr>
              <w:t>□营利性       □幼儿园托班</w:t>
            </w:r>
          </w:p>
        </w:tc>
        <w:tc>
          <w:tcPr>
            <w:tcW w:w="1446" w:type="dxa"/>
            <w:gridSpan w:val="2"/>
          </w:tcPr>
          <w:p>
            <w:pPr>
              <w:adjustRightInd w:val="0"/>
              <w:snapToGrid w:val="0"/>
              <w:spacing w:before="62" w:beforeLines="20"/>
              <w:jc w:val="center"/>
              <w:rPr>
                <w:rFonts w:hint="eastAsia" w:ascii="宋体" w:hAnsi="宋体" w:cs="宋体"/>
                <w:b/>
                <w:bCs/>
                <w:sz w:val="24"/>
              </w:rPr>
            </w:pPr>
            <w:r>
              <w:rPr>
                <w:rFonts w:hint="eastAsia" w:ascii="宋体" w:hAnsi="宋体" w:cs="宋体"/>
                <w:b/>
                <w:bCs/>
                <w:sz w:val="24"/>
              </w:rPr>
              <w:t>注册资本（万元）</w:t>
            </w:r>
          </w:p>
        </w:tc>
        <w:tc>
          <w:tcPr>
            <w:tcW w:w="2156" w:type="dxa"/>
          </w:tcPr>
          <w:p>
            <w:pPr>
              <w:adjustRightInd w:val="0"/>
              <w:snapToGrid w:val="0"/>
              <w:spacing w:before="62" w:beforeLines="2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460" w:type="dxa"/>
            <w:gridSpan w:val="2"/>
            <w:vAlign w:val="center"/>
          </w:tcPr>
          <w:p>
            <w:pPr>
              <w:snapToGrid w:val="0"/>
              <w:spacing w:before="62" w:beforeLines="20"/>
              <w:jc w:val="center"/>
              <w:rPr>
                <w:rFonts w:hint="eastAsia" w:ascii="宋体" w:hAnsi="宋体" w:cs="宋体"/>
                <w:sz w:val="24"/>
              </w:rPr>
            </w:pPr>
            <w:r>
              <w:rPr>
                <w:rFonts w:hint="eastAsia" w:ascii="宋体" w:hAnsi="宋体" w:cs="宋体"/>
                <w:b/>
                <w:bCs/>
                <w:sz w:val="24"/>
              </w:rPr>
              <w:t>地址</w:t>
            </w:r>
          </w:p>
        </w:tc>
        <w:tc>
          <w:tcPr>
            <w:tcW w:w="7780" w:type="dxa"/>
            <w:gridSpan w:val="5"/>
          </w:tcPr>
          <w:p>
            <w:pPr>
              <w:adjustRightInd w:val="0"/>
              <w:snapToGrid w:val="0"/>
              <w:spacing w:before="62" w:beforeLines="2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460" w:type="dxa"/>
            <w:gridSpan w:val="2"/>
            <w:vAlign w:val="center"/>
          </w:tcPr>
          <w:p>
            <w:pPr>
              <w:snapToGrid w:val="0"/>
              <w:spacing w:before="62" w:beforeLines="20"/>
              <w:jc w:val="center"/>
              <w:rPr>
                <w:rFonts w:hint="eastAsia" w:ascii="宋体" w:hAnsi="宋体" w:cs="宋体"/>
                <w:b/>
                <w:bCs/>
                <w:sz w:val="24"/>
              </w:rPr>
            </w:pPr>
            <w:r>
              <w:rPr>
                <w:rFonts w:hint="eastAsia" w:ascii="宋体" w:hAnsi="宋体" w:cs="宋体"/>
                <w:b/>
                <w:bCs/>
                <w:sz w:val="24"/>
              </w:rPr>
              <w:t>建筑面积</w:t>
            </w:r>
          </w:p>
        </w:tc>
        <w:tc>
          <w:tcPr>
            <w:tcW w:w="2269" w:type="dxa"/>
          </w:tcPr>
          <w:p>
            <w:pPr>
              <w:adjustRightInd w:val="0"/>
              <w:snapToGrid w:val="0"/>
              <w:spacing w:before="62" w:beforeLines="20"/>
              <w:jc w:val="center"/>
              <w:rPr>
                <w:rFonts w:hint="eastAsia" w:ascii="仿宋_GB2312" w:hAnsi="仿宋_GB2312" w:eastAsia="仿宋_GB2312" w:cs="仿宋_GB2312"/>
                <w:sz w:val="24"/>
              </w:rPr>
            </w:pPr>
          </w:p>
        </w:tc>
        <w:tc>
          <w:tcPr>
            <w:tcW w:w="2196" w:type="dxa"/>
            <w:gridSpan w:val="2"/>
            <w:vAlign w:val="center"/>
          </w:tcPr>
          <w:p>
            <w:pPr>
              <w:adjustRightInd w:val="0"/>
              <w:snapToGrid w:val="0"/>
              <w:spacing w:before="62" w:beforeLines="20"/>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托位总数</w:t>
            </w:r>
          </w:p>
        </w:tc>
        <w:tc>
          <w:tcPr>
            <w:tcW w:w="3315" w:type="dxa"/>
            <w:gridSpan w:val="2"/>
          </w:tcPr>
          <w:p>
            <w:pPr>
              <w:adjustRightInd w:val="0"/>
              <w:snapToGrid w:val="0"/>
              <w:spacing w:before="62" w:beforeLines="2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460" w:type="dxa"/>
            <w:gridSpan w:val="2"/>
            <w:vAlign w:val="center"/>
          </w:tcPr>
          <w:p>
            <w:pPr>
              <w:spacing w:line="0" w:lineRule="atLeast"/>
              <w:jc w:val="center"/>
              <w:rPr>
                <w:rFonts w:hint="eastAsia" w:ascii="宋体" w:hAnsi="宋体" w:cs="宋体"/>
                <w:b/>
                <w:bCs/>
                <w:sz w:val="24"/>
              </w:rPr>
            </w:pPr>
            <w:r>
              <w:rPr>
                <w:rFonts w:hint="eastAsia" w:ascii="宋体" w:hAnsi="宋体" w:cs="宋体"/>
                <w:b/>
                <w:bCs/>
                <w:sz w:val="24"/>
              </w:rPr>
              <w:t>在托人数</w:t>
            </w:r>
          </w:p>
        </w:tc>
        <w:tc>
          <w:tcPr>
            <w:tcW w:w="2269" w:type="dxa"/>
            <w:vAlign w:val="center"/>
          </w:tcPr>
          <w:p>
            <w:pPr>
              <w:spacing w:line="0" w:lineRule="atLeast"/>
              <w:jc w:val="center"/>
              <w:rPr>
                <w:rFonts w:hint="eastAsia" w:ascii="仿宋_GB2312" w:hAnsi="仿宋_GB2312" w:eastAsia="仿宋_GB2312" w:cs="仿宋_GB2312"/>
                <w:sz w:val="24"/>
              </w:rPr>
            </w:pPr>
          </w:p>
        </w:tc>
        <w:tc>
          <w:tcPr>
            <w:tcW w:w="2196" w:type="dxa"/>
            <w:gridSpan w:val="2"/>
            <w:vAlign w:val="center"/>
          </w:tcPr>
          <w:p>
            <w:pPr>
              <w:spacing w:line="0" w:lineRule="atLeast"/>
              <w:ind w:firstLine="361"/>
              <w:jc w:val="center"/>
              <w:rPr>
                <w:rFonts w:hint="eastAsia" w:ascii="宋体" w:hAnsi="宋体" w:cs="宋体"/>
                <w:b/>
                <w:bCs/>
                <w:sz w:val="24"/>
              </w:rPr>
            </w:pPr>
            <w:r>
              <w:rPr>
                <w:rFonts w:hint="eastAsia" w:ascii="宋体" w:hAnsi="宋体" w:cs="宋体"/>
                <w:b/>
                <w:bCs/>
                <w:sz w:val="24"/>
              </w:rPr>
              <w:t>保育保健</w:t>
            </w:r>
          </w:p>
          <w:p>
            <w:pPr>
              <w:spacing w:line="0" w:lineRule="atLeast"/>
              <w:ind w:firstLine="361"/>
              <w:jc w:val="center"/>
              <w:rPr>
                <w:rFonts w:hint="eastAsia" w:ascii="仿宋_GB2312" w:hAnsi="仿宋_GB2312" w:eastAsia="仿宋_GB2312" w:cs="仿宋_GB2312"/>
                <w:sz w:val="24"/>
              </w:rPr>
            </w:pPr>
            <w:r>
              <w:rPr>
                <w:rFonts w:hint="eastAsia" w:ascii="宋体" w:hAnsi="宋体" w:cs="宋体"/>
                <w:b/>
                <w:bCs/>
                <w:sz w:val="24"/>
              </w:rPr>
              <w:t>人员数量</w:t>
            </w:r>
          </w:p>
        </w:tc>
        <w:tc>
          <w:tcPr>
            <w:tcW w:w="3315" w:type="dxa"/>
            <w:gridSpan w:val="2"/>
            <w:vAlign w:val="center"/>
          </w:tcPr>
          <w:p>
            <w:pPr>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保育</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  保健</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460" w:type="dxa"/>
            <w:gridSpan w:val="2"/>
            <w:vAlign w:val="center"/>
          </w:tcPr>
          <w:p>
            <w:pPr>
              <w:snapToGrid w:val="0"/>
              <w:spacing w:before="62" w:beforeLines="20"/>
              <w:jc w:val="center"/>
              <w:rPr>
                <w:rFonts w:hint="eastAsia" w:ascii="宋体" w:hAnsi="宋体" w:cs="宋体"/>
                <w:sz w:val="24"/>
              </w:rPr>
            </w:pPr>
            <w:r>
              <w:rPr>
                <w:rFonts w:hint="eastAsia" w:ascii="宋体" w:hAnsi="宋体" w:cs="宋体"/>
                <w:b/>
                <w:bCs/>
                <w:sz w:val="24"/>
              </w:rPr>
              <w:t>收费标准</w:t>
            </w:r>
          </w:p>
        </w:tc>
        <w:tc>
          <w:tcPr>
            <w:tcW w:w="2269" w:type="dxa"/>
          </w:tcPr>
          <w:p>
            <w:pPr>
              <w:adjustRightInd w:val="0"/>
              <w:snapToGrid w:val="0"/>
              <w:spacing w:before="62" w:beforeLines="20"/>
              <w:rPr>
                <w:rFonts w:hint="eastAsia" w:ascii="仿宋_GB2312" w:hAnsi="仿宋_GB2312" w:eastAsia="仿宋_GB2312" w:cs="仿宋_GB2312"/>
                <w:sz w:val="24"/>
                <w:u w:val="single"/>
              </w:rPr>
            </w:pPr>
            <w:r>
              <w:rPr>
                <w:rFonts w:hint="eastAsia" w:ascii="仿宋_GB2312" w:hAnsi="仿宋_GB2312" w:eastAsia="仿宋_GB2312" w:cs="仿宋_GB2312"/>
                <w:sz w:val="24"/>
              </w:rPr>
              <w:t>□全日托</w:t>
            </w:r>
            <w:r>
              <w:rPr>
                <w:rFonts w:hint="eastAsia" w:ascii="仿宋_GB2312" w:hAnsi="仿宋_GB2312" w:eastAsia="仿宋_GB2312" w:cs="仿宋_GB2312"/>
                <w:sz w:val="24"/>
                <w:u w:val="single"/>
              </w:rPr>
              <w:t xml:space="preserve">  元/月</w:t>
            </w:r>
          </w:p>
          <w:p>
            <w:pPr>
              <w:adjustRightInd w:val="0"/>
              <w:snapToGrid w:val="0"/>
              <w:spacing w:before="62" w:beforeLines="20"/>
              <w:rPr>
                <w:rFonts w:hint="eastAsia" w:ascii="仿宋_GB2312" w:hAnsi="仿宋_GB2312" w:eastAsia="仿宋_GB2312" w:cs="仿宋_GB2312"/>
                <w:sz w:val="24"/>
                <w:u w:val="single"/>
              </w:rPr>
            </w:pPr>
            <w:r>
              <w:rPr>
                <w:rFonts w:hint="eastAsia" w:ascii="仿宋_GB2312" w:hAnsi="仿宋_GB2312" w:eastAsia="仿宋_GB2312" w:cs="仿宋_GB2312"/>
                <w:sz w:val="24"/>
              </w:rPr>
              <w:t>□半日托</w:t>
            </w:r>
            <w:r>
              <w:rPr>
                <w:rFonts w:hint="eastAsia" w:ascii="仿宋_GB2312" w:hAnsi="仿宋_GB2312" w:eastAsia="仿宋_GB2312" w:cs="仿宋_GB2312"/>
                <w:sz w:val="24"/>
                <w:u w:val="single"/>
              </w:rPr>
              <w:t xml:space="preserve">  元/月</w:t>
            </w:r>
          </w:p>
          <w:p>
            <w:pPr>
              <w:adjustRightInd w:val="0"/>
              <w:snapToGrid w:val="0"/>
              <w:spacing w:before="62" w:beforeLines="20"/>
              <w:rPr>
                <w:rFonts w:hint="eastAsia" w:ascii="仿宋_GB2312" w:hAnsi="仿宋_GB2312" w:eastAsia="仿宋_GB2312" w:cs="仿宋_GB2312"/>
                <w:sz w:val="24"/>
                <w:u w:val="single"/>
              </w:rPr>
            </w:pPr>
            <w:r>
              <w:rPr>
                <w:rFonts w:hint="eastAsia" w:ascii="仿宋_GB2312" w:hAnsi="仿宋_GB2312" w:eastAsia="仿宋_GB2312" w:cs="仿宋_GB2312"/>
                <w:sz w:val="24"/>
              </w:rPr>
              <w:t>□计时托</w:t>
            </w:r>
            <w:r>
              <w:rPr>
                <w:rFonts w:hint="eastAsia" w:ascii="仿宋_GB2312" w:hAnsi="仿宋_GB2312" w:eastAsia="仿宋_GB2312" w:cs="仿宋_GB2312"/>
                <w:sz w:val="24"/>
                <w:u w:val="single"/>
              </w:rPr>
              <w:t xml:space="preserve">  元/小时</w:t>
            </w:r>
          </w:p>
          <w:p>
            <w:pPr>
              <w:adjustRightInd w:val="0"/>
              <w:snapToGrid w:val="0"/>
              <w:spacing w:before="62" w:beforeLines="20"/>
              <w:rPr>
                <w:rFonts w:hint="eastAsia" w:ascii="仿宋_GB2312" w:hAnsi="仿宋_GB2312" w:eastAsia="仿宋_GB2312" w:cs="仿宋_GB2312"/>
                <w:sz w:val="24"/>
                <w:u w:val="single"/>
              </w:rPr>
            </w:pPr>
            <w:r>
              <w:rPr>
                <w:rFonts w:hint="eastAsia" w:ascii="仿宋_GB2312" w:hAnsi="仿宋_GB2312" w:eastAsia="仿宋_GB2312" w:cs="仿宋_GB2312"/>
                <w:sz w:val="24"/>
              </w:rPr>
              <w:t>□临时托</w:t>
            </w:r>
            <w:r>
              <w:rPr>
                <w:rFonts w:hint="eastAsia" w:ascii="仿宋_GB2312" w:hAnsi="仿宋_GB2312" w:eastAsia="仿宋_GB2312" w:cs="仿宋_GB2312"/>
                <w:sz w:val="24"/>
                <w:u w:val="single"/>
              </w:rPr>
              <w:t xml:space="preserve">  元/小时</w:t>
            </w:r>
          </w:p>
        </w:tc>
        <w:tc>
          <w:tcPr>
            <w:tcW w:w="2196" w:type="dxa"/>
            <w:gridSpan w:val="2"/>
            <w:vAlign w:val="center"/>
          </w:tcPr>
          <w:p>
            <w:pPr>
              <w:adjustRightInd w:val="0"/>
              <w:snapToGrid w:val="0"/>
              <w:spacing w:before="62" w:beforeLines="20"/>
              <w:jc w:val="center"/>
              <w:rPr>
                <w:rFonts w:hint="eastAsia" w:ascii="宋体" w:hAnsi="宋体" w:cs="宋体"/>
                <w:sz w:val="24"/>
              </w:rPr>
            </w:pPr>
            <w:r>
              <w:rPr>
                <w:rFonts w:hint="eastAsia" w:ascii="宋体" w:hAnsi="宋体" w:cs="宋体"/>
                <w:b/>
                <w:bCs/>
                <w:sz w:val="24"/>
              </w:rPr>
              <w:t>备案情况</w:t>
            </w:r>
          </w:p>
        </w:tc>
        <w:tc>
          <w:tcPr>
            <w:tcW w:w="3315" w:type="dxa"/>
            <w:gridSpan w:val="2"/>
            <w:vAlign w:val="center"/>
          </w:tcPr>
          <w:p>
            <w:pPr>
              <w:adjustRightInd w:val="0"/>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□已备案      □未备案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gridSpan w:val="2"/>
            <w:vAlign w:val="center"/>
          </w:tcPr>
          <w:p>
            <w:pPr>
              <w:snapToGrid w:val="0"/>
              <w:spacing w:before="62" w:beforeLines="20"/>
              <w:jc w:val="center"/>
              <w:rPr>
                <w:rFonts w:hint="eastAsia" w:ascii="宋体" w:hAnsi="宋体" w:cs="宋体"/>
                <w:b/>
                <w:bCs/>
                <w:sz w:val="24"/>
              </w:rPr>
            </w:pPr>
            <w:r>
              <w:rPr>
                <w:rFonts w:hint="eastAsia" w:ascii="宋体" w:hAnsi="宋体" w:cs="宋体"/>
                <w:b/>
                <w:bCs/>
                <w:sz w:val="24"/>
              </w:rPr>
              <w:t>机构（园所）</w:t>
            </w:r>
          </w:p>
          <w:p>
            <w:pPr>
              <w:snapToGrid w:val="0"/>
              <w:spacing w:before="62" w:beforeLines="20"/>
              <w:jc w:val="center"/>
              <w:rPr>
                <w:rFonts w:hint="eastAsia" w:ascii="宋体" w:hAnsi="宋体" w:cs="宋体"/>
                <w:sz w:val="24"/>
              </w:rPr>
            </w:pPr>
            <w:r>
              <w:rPr>
                <w:rFonts w:hint="eastAsia" w:ascii="宋体" w:hAnsi="宋体" w:cs="宋体"/>
                <w:b/>
                <w:bCs/>
                <w:sz w:val="24"/>
              </w:rPr>
              <w:t>负责人姓名</w:t>
            </w:r>
          </w:p>
        </w:tc>
        <w:tc>
          <w:tcPr>
            <w:tcW w:w="2269" w:type="dxa"/>
            <w:vAlign w:val="center"/>
          </w:tcPr>
          <w:p>
            <w:pPr>
              <w:snapToGrid w:val="0"/>
              <w:spacing w:before="62" w:beforeLines="20"/>
              <w:rPr>
                <w:rFonts w:hint="eastAsia" w:ascii="仿宋_GB2312" w:hAnsi="仿宋_GB2312" w:eastAsia="仿宋_GB2312" w:cs="仿宋_GB2312"/>
                <w:sz w:val="24"/>
              </w:rPr>
            </w:pPr>
          </w:p>
        </w:tc>
        <w:tc>
          <w:tcPr>
            <w:tcW w:w="2196" w:type="dxa"/>
            <w:gridSpan w:val="2"/>
            <w:vAlign w:val="center"/>
          </w:tcPr>
          <w:p>
            <w:pPr>
              <w:snapToGrid w:val="0"/>
              <w:spacing w:before="62" w:beforeLines="20"/>
              <w:jc w:val="center"/>
              <w:rPr>
                <w:rFonts w:hint="eastAsia" w:ascii="宋体" w:hAnsi="宋体" w:cs="宋体"/>
                <w:sz w:val="24"/>
              </w:rPr>
            </w:pPr>
            <w:r>
              <w:rPr>
                <w:rFonts w:hint="eastAsia" w:ascii="宋体" w:hAnsi="宋体" w:cs="宋体"/>
                <w:b/>
                <w:bCs/>
                <w:sz w:val="24"/>
              </w:rPr>
              <w:t>联系电话</w:t>
            </w:r>
          </w:p>
        </w:tc>
        <w:tc>
          <w:tcPr>
            <w:tcW w:w="3315" w:type="dxa"/>
            <w:gridSpan w:val="2"/>
            <w:vAlign w:val="center"/>
          </w:tcPr>
          <w:p>
            <w:pPr>
              <w:snapToGrid w:val="0"/>
              <w:spacing w:before="62" w:beforeLines="2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2" w:type="dxa"/>
            <w:vAlign w:val="center"/>
          </w:tcPr>
          <w:p>
            <w:pPr>
              <w:snapToGrid w:val="0"/>
              <w:spacing w:before="62" w:beforeLines="20"/>
              <w:jc w:val="center"/>
              <w:rPr>
                <w:rFonts w:ascii="仿宋_GB2312" w:hAnsi="仿宋_GB2312" w:eastAsia="仿宋_GB2312" w:cs="仿宋_GB2312"/>
                <w:sz w:val="24"/>
              </w:rPr>
            </w:pPr>
            <w:r>
              <w:rPr>
                <w:rFonts w:hint="eastAsia" w:ascii="宋体" w:hAnsi="宋体" w:cs="宋体"/>
                <w:b/>
                <w:bCs/>
                <w:sz w:val="24"/>
              </w:rPr>
              <w:t>申报机构简介</w:t>
            </w:r>
          </w:p>
        </w:tc>
        <w:tc>
          <w:tcPr>
            <w:tcW w:w="8368" w:type="dxa"/>
            <w:gridSpan w:val="6"/>
          </w:tcPr>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（介绍机构发展历程、机构管理、队伍建设、照护环境、安全保障、卫生保健、家长社区合作、照护活动开展情况等，1000-1500字。）</w:t>
            </w: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tc>
      </w:tr>
    </w:tbl>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评审组人员要求</w:t>
      </w:r>
    </w:p>
    <w:p>
      <w:pPr>
        <w:jc w:val="center"/>
        <w:rPr>
          <w:rFonts w:hint="eastAsia" w:ascii="方正小标宋简体" w:hAnsi="方正小标宋简体" w:eastAsia="方正小标宋简体" w:cs="方正小标宋简体"/>
          <w:sz w:val="32"/>
          <w:szCs w:val="32"/>
        </w:rPr>
      </w:pP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评审组分为卫生组、管理组、照护组，每组至少一名成员,具体要求如下：</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卫生组：具有卫生保健专业背景和五年以上婴幼儿卫生保健工作经验；</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管理组：熟悉托育机构或幼儿园工作，具有相关领域管理工作经验；</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照护组：具有教育或心理学专业背景和十年以上的婴幼儿教育工作经验，从事过相关教研或管理工作者优先。</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为保证评审工作公平公正，评审组不宜选择托育机构现职人员。</w:t>
      </w: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ind w:firstLine="640" w:firstLineChars="200"/>
        <w:rPr>
          <w:rFonts w:ascii="仿宋_GB2312" w:hAnsi="黑体" w:eastAsia="仿宋_GB2312"/>
          <w:sz w:val="32"/>
          <w:szCs w:val="32"/>
        </w:rPr>
      </w:pPr>
    </w:p>
    <w:p>
      <w:pPr>
        <w:spacing w:line="570" w:lineRule="exact"/>
        <w:rPr>
          <w:rFonts w:ascii="仿宋_GB2312" w:hAnsi="黑体" w:eastAsia="仿宋_GB2312"/>
          <w:sz w:val="32"/>
          <w:szCs w:val="32"/>
        </w:rPr>
      </w:pPr>
    </w:p>
    <w:p>
      <w:pPr>
        <w:rPr>
          <w:rFonts w:ascii="黑体" w:hAnsi="黑体" w:eastAsia="黑体"/>
          <w:sz w:val="32"/>
          <w:szCs w:val="32"/>
        </w:rPr>
      </w:pPr>
      <w:r>
        <w:rPr>
          <w:rFonts w:hint="eastAsia" w:ascii="黑体" w:hAnsi="黑体" w:eastAsia="黑体"/>
          <w:sz w:val="32"/>
          <w:szCs w:val="32"/>
        </w:rPr>
        <w:t>附件4</w:t>
      </w:r>
    </w:p>
    <w:p>
      <w:pPr>
        <w:tabs>
          <w:tab w:val="left" w:pos="0"/>
        </w:tabs>
        <w:autoSpaceDE w:val="0"/>
        <w:autoSpaceDN w:val="0"/>
        <w:adjustRightInd w:val="0"/>
        <w:jc w:val="center"/>
        <w:outlineLvl w:val="0"/>
        <w:rPr>
          <w:rFonts w:ascii="方正小标宋简体" w:eastAsia="方正小标宋简体"/>
          <w:kern w:val="0"/>
          <w:sz w:val="44"/>
          <w:szCs w:val="44"/>
        </w:rPr>
      </w:pPr>
      <w:r>
        <w:rPr>
          <w:rFonts w:hint="eastAsia" w:ascii="方正小标宋简体" w:eastAsia="方正小标宋简体"/>
          <w:kern w:val="0"/>
          <w:sz w:val="44"/>
          <w:szCs w:val="44"/>
          <w:lang w:val="zh-CN"/>
        </w:rPr>
        <w:t>北京市示范性托育机构推荐表</w:t>
      </w:r>
    </w:p>
    <w:p>
      <w:pPr>
        <w:pStyle w:val="2"/>
      </w:pPr>
    </w:p>
    <w:p>
      <w:pPr>
        <w:jc w:val="left"/>
        <w:rPr>
          <w:rFonts w:hint="eastAsia" w:ascii="宋体" w:hAnsi="宋体" w:cs="宋体"/>
          <w:b/>
          <w:bCs/>
          <w:sz w:val="32"/>
          <w:szCs w:val="32"/>
        </w:rPr>
      </w:pPr>
      <w:r>
        <w:rPr>
          <w:rFonts w:hint="eastAsia" w:ascii="宋体" w:hAnsi="宋体" w:cs="宋体"/>
          <w:b/>
          <w:bCs/>
          <w:sz w:val="32"/>
          <w:szCs w:val="32"/>
        </w:rPr>
        <w:t>推荐单位（盖章）：</w:t>
      </w:r>
      <w:r>
        <w:rPr>
          <w:rFonts w:hint="eastAsia" w:ascii="宋体" w:hAnsi="宋体" w:cs="宋体"/>
          <w:b/>
          <w:bCs/>
          <w:sz w:val="32"/>
          <w:szCs w:val="32"/>
          <w:u w:val="single"/>
        </w:rPr>
        <w:t xml:space="preserve">             </w:t>
      </w:r>
      <w:r>
        <w:rPr>
          <w:rFonts w:hint="eastAsia" w:ascii="宋体" w:hAnsi="宋体" w:cs="宋体"/>
          <w:b/>
          <w:bCs/>
          <w:sz w:val="32"/>
          <w:szCs w:val="32"/>
        </w:rPr>
        <w:t xml:space="preserve">                                  </w:t>
      </w:r>
    </w:p>
    <w:tbl>
      <w:tblPr>
        <w:tblStyle w:val="8"/>
        <w:tblW w:w="8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340"/>
        <w:gridCol w:w="2467"/>
        <w:gridCol w:w="138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 w:val="28"/>
                <w:szCs w:val="28"/>
              </w:rPr>
            </w:pPr>
            <w:r>
              <w:rPr>
                <w:rFonts w:hint="eastAsia" w:ascii="宋体" w:hAnsi="宋体" w:cs="宋体"/>
                <w:b/>
                <w:sz w:val="28"/>
                <w:szCs w:val="28"/>
              </w:rPr>
              <w:t>序号</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 w:val="28"/>
                <w:szCs w:val="28"/>
              </w:rPr>
            </w:pPr>
            <w:r>
              <w:rPr>
                <w:rFonts w:hint="eastAsia" w:ascii="宋体" w:hAnsi="宋体" w:cs="宋体"/>
                <w:b/>
                <w:sz w:val="28"/>
                <w:szCs w:val="28"/>
              </w:rPr>
              <w:t>机构（园所）名称</w:t>
            </w: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 w:val="28"/>
                <w:szCs w:val="28"/>
              </w:rPr>
            </w:pPr>
            <w:r>
              <w:rPr>
                <w:rFonts w:hint="eastAsia" w:ascii="宋体" w:hAnsi="宋体" w:cs="宋体"/>
                <w:b/>
                <w:sz w:val="28"/>
                <w:szCs w:val="28"/>
              </w:rPr>
              <w:t>地址</w:t>
            </w:r>
          </w:p>
        </w:tc>
        <w:tc>
          <w:tcPr>
            <w:tcW w:w="13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 w:val="28"/>
                <w:szCs w:val="28"/>
              </w:rPr>
            </w:pPr>
            <w:r>
              <w:rPr>
                <w:rFonts w:hint="eastAsia" w:ascii="宋体" w:hAnsi="宋体" w:cs="宋体"/>
                <w:b/>
                <w:sz w:val="28"/>
                <w:szCs w:val="28"/>
              </w:rPr>
              <w:t>联系人</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b/>
                <w:sz w:val="28"/>
                <w:szCs w:val="28"/>
              </w:rPr>
            </w:pPr>
            <w:r>
              <w:rPr>
                <w:rFonts w:hint="eastAsia" w:ascii="宋体" w:hAnsi="宋体" w:cs="宋体"/>
                <w:b/>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1380"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1380"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1380"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1380"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1380"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1380"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1380"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1380"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1380"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c>
          <w:tcPr>
            <w:tcW w:w="1380"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32"/>
                <w:szCs w:val="32"/>
              </w:rPr>
            </w:pP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32"/>
                <w:szCs w:val="32"/>
              </w:rPr>
            </w:pPr>
          </w:p>
        </w:tc>
      </w:tr>
    </w:tbl>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bookmarkStart w:id="0" w:name="_GoBack"/>
      <w:bookmarkEnd w:id="0"/>
    </w:p>
    <w:sectPr>
      <w:footerReference r:id="rId3" w:type="default"/>
      <w:footerReference r:id="rId4" w:type="even"/>
      <w:pgSz w:w="11906" w:h="16838"/>
      <w:pgMar w:top="2098" w:right="1474" w:bottom="1984" w:left="1588" w:header="851" w:footer="153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宋体-PUA">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PUA" w:eastAsia="宋体-PUA"/>
      </w:rPr>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ascii="宋体" w:hAnsi="宋体" w:eastAsia="宋体" w:cs="宋体"/>
        <w:sz w:val="28"/>
        <w:szCs w:val="28"/>
      </w:rPr>
      <w:t>- 13 -</w:t>
    </w:r>
    <w:r>
      <w:rPr>
        <w:rFonts w:hint="eastAsia" w:ascii="宋体" w:hAnsi="宋体" w:eastAsia="宋体" w:cs="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0B"/>
    <w:rsid w:val="00296D52"/>
    <w:rsid w:val="004764A8"/>
    <w:rsid w:val="00A7350B"/>
    <w:rsid w:val="00CE7D2C"/>
    <w:rsid w:val="2D741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3"/>
    <w:uiPriority w:val="0"/>
    <w:pPr>
      <w:spacing w:after="120"/>
    </w:pPr>
    <w:rPr>
      <w:rFonts w:ascii="Calibri" w:hAnsi="Calibri"/>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uiPriority w:val="99"/>
    <w:rPr>
      <w:sz w:val="18"/>
      <w:szCs w:val="18"/>
    </w:rPr>
  </w:style>
  <w:style w:type="character" w:customStyle="1" w:styleId="11">
    <w:name w:val="font41"/>
    <w:basedOn w:val="6"/>
    <w:qFormat/>
    <w:uiPriority w:val="0"/>
    <w:rPr>
      <w:rFonts w:hint="eastAsia" w:ascii="宋体" w:hAnsi="宋体" w:eastAsia="宋体" w:cs="宋体"/>
      <w:color w:val="000000"/>
      <w:sz w:val="20"/>
      <w:szCs w:val="20"/>
      <w:u w:val="none"/>
    </w:rPr>
  </w:style>
  <w:style w:type="character" w:customStyle="1" w:styleId="12">
    <w:name w:val="font21"/>
    <w:basedOn w:val="6"/>
    <w:qFormat/>
    <w:uiPriority w:val="0"/>
    <w:rPr>
      <w:rFonts w:hint="eastAsia" w:ascii="宋体" w:hAnsi="宋体" w:eastAsia="宋体" w:cs="宋体"/>
      <w:color w:val="000000"/>
      <w:sz w:val="20"/>
      <w:szCs w:val="20"/>
      <w:u w:val="none"/>
    </w:rPr>
  </w:style>
  <w:style w:type="character" w:customStyle="1" w:styleId="13">
    <w:name w:val="正文文本 Char"/>
    <w:basedOn w:val="6"/>
    <w:link w:val="2"/>
    <w:qFormat/>
    <w:uiPriority w:val="0"/>
    <w:rPr>
      <w:rFonts w:ascii="Calibri" w:hAnsi="Calibri" w:eastAsia="宋体" w:cs="Times New Roman"/>
      <w:szCs w:val="24"/>
    </w:rPr>
  </w:style>
  <w:style w:type="paragraph" w:customStyle="1" w:styleId="14">
    <w:name w:val="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822</Words>
  <Characters>4692</Characters>
  <Lines>39</Lines>
  <Paragraphs>11</Paragraphs>
  <TotalTime>6</TotalTime>
  <ScaleCrop>false</ScaleCrop>
  <LinksUpToDate>false</LinksUpToDate>
  <CharactersWithSpaces>5503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2020-12-31T07:25:00Z</dcterms:created>
  <dc:creator>网络部公用机</dc:creator>
  <cp:lastModifiedBy>Wuxiaojie</cp:lastModifiedBy>
  <dcterms:modified xsi:type="dcterms:W3CDTF">2021-01-04T03:46:32Z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