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B2386" w14:textId="77777777" w:rsidR="002B60D1" w:rsidRDefault="002B60D1" w:rsidP="002B60D1">
      <w:pPr>
        <w:jc w:val="center"/>
        <w:rPr>
          <w:rFonts w:hint="eastAsia"/>
          <w:bCs/>
          <w:sz w:val="44"/>
          <w:szCs w:val="44"/>
        </w:rPr>
      </w:pPr>
      <w:r>
        <w:rPr>
          <w:rFonts w:ascii="方正小标宋简体" w:eastAsia="方正小标宋简体" w:hAnsi="方正小标宋简体" w:cs="方正小标宋简体" w:hint="eastAsia"/>
          <w:bCs/>
          <w:sz w:val="44"/>
          <w:szCs w:val="44"/>
        </w:rPr>
        <w:t>促进社会办医持续健康规范发展分工方案</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010"/>
        <w:gridCol w:w="2000"/>
        <w:gridCol w:w="2280"/>
        <w:gridCol w:w="1680"/>
      </w:tblGrid>
      <w:tr w:rsidR="002B60D1" w14:paraId="30E4557D" w14:textId="77777777" w:rsidTr="00F01AEB">
        <w:trPr>
          <w:trHeight w:val="375"/>
          <w:jc w:val="center"/>
        </w:trPr>
        <w:tc>
          <w:tcPr>
            <w:tcW w:w="8010" w:type="dxa"/>
            <w:tcBorders>
              <w:top w:val="single" w:sz="4" w:space="0" w:color="auto"/>
              <w:left w:val="single" w:sz="4" w:space="0" w:color="auto"/>
              <w:bottom w:val="single" w:sz="4" w:space="0" w:color="auto"/>
              <w:right w:val="single" w:sz="4" w:space="0" w:color="auto"/>
            </w:tcBorders>
            <w:vAlign w:val="center"/>
          </w:tcPr>
          <w:p w14:paraId="6E9EB28E" w14:textId="77777777" w:rsidR="002B60D1" w:rsidRDefault="002B60D1" w:rsidP="00F01AEB">
            <w:pPr>
              <w:widowControl/>
              <w:jc w:val="center"/>
              <w:textAlignment w:val="center"/>
              <w:rPr>
                <w:rFonts w:ascii="黑体" w:eastAsia="黑体" w:hAnsi="宋体" w:cs="黑体"/>
                <w:sz w:val="28"/>
                <w:szCs w:val="28"/>
              </w:rPr>
            </w:pPr>
            <w:r>
              <w:rPr>
                <w:rFonts w:ascii="黑体" w:eastAsia="黑体" w:hAnsi="宋体" w:cs="黑体" w:hint="eastAsia"/>
                <w:kern w:val="0"/>
                <w:sz w:val="28"/>
                <w:szCs w:val="28"/>
              </w:rPr>
              <w:t>分工方案内容</w:t>
            </w:r>
          </w:p>
        </w:tc>
        <w:tc>
          <w:tcPr>
            <w:tcW w:w="2000" w:type="dxa"/>
            <w:tcBorders>
              <w:top w:val="single" w:sz="4" w:space="0" w:color="auto"/>
              <w:left w:val="single" w:sz="4" w:space="0" w:color="auto"/>
              <w:bottom w:val="single" w:sz="4" w:space="0" w:color="auto"/>
              <w:right w:val="single" w:sz="4" w:space="0" w:color="auto"/>
            </w:tcBorders>
            <w:vAlign w:val="center"/>
          </w:tcPr>
          <w:p w14:paraId="5934DA7C" w14:textId="77777777" w:rsidR="002B60D1" w:rsidRDefault="002B60D1" w:rsidP="00F01AEB">
            <w:pPr>
              <w:widowControl/>
              <w:jc w:val="center"/>
              <w:textAlignment w:val="center"/>
              <w:rPr>
                <w:rFonts w:ascii="黑体" w:eastAsia="黑体" w:hAnsi="宋体" w:cs="黑体" w:hint="eastAsia"/>
                <w:sz w:val="28"/>
                <w:szCs w:val="28"/>
              </w:rPr>
            </w:pPr>
            <w:r>
              <w:rPr>
                <w:rFonts w:ascii="黑体" w:eastAsia="黑体" w:hAnsi="宋体" w:cs="黑体" w:hint="eastAsia"/>
                <w:kern w:val="0"/>
                <w:sz w:val="28"/>
                <w:szCs w:val="28"/>
              </w:rPr>
              <w:t>国家有关部门</w:t>
            </w:r>
          </w:p>
        </w:tc>
        <w:tc>
          <w:tcPr>
            <w:tcW w:w="2280" w:type="dxa"/>
            <w:tcBorders>
              <w:top w:val="single" w:sz="4" w:space="0" w:color="auto"/>
              <w:left w:val="single" w:sz="4" w:space="0" w:color="auto"/>
              <w:bottom w:val="single" w:sz="4" w:space="0" w:color="auto"/>
              <w:right w:val="single" w:sz="4" w:space="0" w:color="auto"/>
            </w:tcBorders>
            <w:vAlign w:val="center"/>
          </w:tcPr>
          <w:p w14:paraId="5BAEAC46" w14:textId="77777777" w:rsidR="002B60D1" w:rsidRDefault="002B60D1" w:rsidP="00F01AEB">
            <w:pPr>
              <w:widowControl/>
              <w:jc w:val="center"/>
              <w:textAlignment w:val="center"/>
              <w:rPr>
                <w:rFonts w:ascii="黑体" w:eastAsia="黑体" w:hAnsi="宋体" w:cs="黑体" w:hint="eastAsia"/>
                <w:sz w:val="28"/>
                <w:szCs w:val="28"/>
              </w:rPr>
            </w:pPr>
            <w:r>
              <w:rPr>
                <w:rFonts w:ascii="黑体" w:eastAsia="黑体" w:hAnsi="宋体" w:cs="黑体" w:hint="eastAsia"/>
                <w:kern w:val="0"/>
                <w:sz w:val="28"/>
                <w:szCs w:val="28"/>
              </w:rPr>
              <w:t>市级责任部门</w:t>
            </w:r>
          </w:p>
        </w:tc>
        <w:tc>
          <w:tcPr>
            <w:tcW w:w="1680" w:type="dxa"/>
            <w:tcBorders>
              <w:top w:val="single" w:sz="4" w:space="0" w:color="auto"/>
              <w:left w:val="single" w:sz="4" w:space="0" w:color="auto"/>
              <w:bottom w:val="single" w:sz="4" w:space="0" w:color="auto"/>
              <w:right w:val="single" w:sz="4" w:space="0" w:color="auto"/>
            </w:tcBorders>
            <w:vAlign w:val="center"/>
          </w:tcPr>
          <w:p w14:paraId="5713E27A" w14:textId="77777777" w:rsidR="002B60D1" w:rsidRDefault="002B60D1" w:rsidP="00F01AEB">
            <w:pPr>
              <w:widowControl/>
              <w:jc w:val="center"/>
              <w:textAlignment w:val="center"/>
              <w:rPr>
                <w:rFonts w:ascii="黑体" w:eastAsia="黑体" w:hAnsi="宋体" w:cs="黑体" w:hint="eastAsia"/>
                <w:sz w:val="28"/>
                <w:szCs w:val="28"/>
              </w:rPr>
            </w:pPr>
            <w:r>
              <w:rPr>
                <w:rFonts w:ascii="黑体" w:eastAsia="黑体" w:hAnsi="宋体" w:cs="黑体" w:hint="eastAsia"/>
                <w:kern w:val="0"/>
                <w:sz w:val="28"/>
                <w:szCs w:val="28"/>
              </w:rPr>
              <w:t>完成时限</w:t>
            </w:r>
          </w:p>
        </w:tc>
      </w:tr>
      <w:tr w:rsidR="002B60D1" w14:paraId="20B83058" w14:textId="77777777" w:rsidTr="00F01AEB">
        <w:trPr>
          <w:trHeight w:val="285"/>
          <w:jc w:val="center"/>
        </w:trPr>
        <w:tc>
          <w:tcPr>
            <w:tcW w:w="8010" w:type="dxa"/>
            <w:tcBorders>
              <w:top w:val="single" w:sz="4" w:space="0" w:color="auto"/>
              <w:left w:val="single" w:sz="4" w:space="0" w:color="auto"/>
              <w:bottom w:val="single" w:sz="4" w:space="0" w:color="auto"/>
              <w:right w:val="single" w:sz="4" w:space="0" w:color="auto"/>
            </w:tcBorders>
            <w:vAlign w:val="center"/>
          </w:tcPr>
          <w:p w14:paraId="42B056DB" w14:textId="77777777" w:rsidR="002B60D1" w:rsidRDefault="002B60D1" w:rsidP="00F01AEB">
            <w:pPr>
              <w:widowControl/>
              <w:jc w:val="left"/>
              <w:textAlignment w:val="center"/>
              <w:rPr>
                <w:rFonts w:ascii="黑体" w:eastAsia="黑体" w:hAnsi="宋体" w:cs="黑体" w:hint="eastAsia"/>
                <w:sz w:val="24"/>
              </w:rPr>
            </w:pPr>
            <w:r>
              <w:rPr>
                <w:rFonts w:ascii="黑体" w:eastAsia="黑体" w:hAnsi="宋体" w:cs="黑体" w:hint="eastAsia"/>
                <w:kern w:val="0"/>
                <w:sz w:val="24"/>
              </w:rPr>
              <w:t>一、加大政府支持社会办医力度</w:t>
            </w:r>
          </w:p>
        </w:tc>
        <w:tc>
          <w:tcPr>
            <w:tcW w:w="2000" w:type="dxa"/>
            <w:tcBorders>
              <w:top w:val="single" w:sz="4" w:space="0" w:color="auto"/>
              <w:left w:val="single" w:sz="4" w:space="0" w:color="auto"/>
              <w:bottom w:val="single" w:sz="4" w:space="0" w:color="auto"/>
              <w:right w:val="single" w:sz="4" w:space="0" w:color="auto"/>
            </w:tcBorders>
            <w:vAlign w:val="center"/>
          </w:tcPr>
          <w:p w14:paraId="0200DD1D" w14:textId="77777777" w:rsidR="002B60D1" w:rsidRDefault="002B60D1" w:rsidP="00F01AEB">
            <w:pPr>
              <w:jc w:val="left"/>
              <w:rPr>
                <w:rFonts w:ascii="宋体" w:hAnsi="宋体" w:cs="宋体" w:hint="eastAsia"/>
                <w:sz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762F54EF" w14:textId="77777777" w:rsidR="002B60D1" w:rsidRDefault="002B60D1" w:rsidP="00F01AEB">
            <w:pPr>
              <w:jc w:val="left"/>
              <w:rPr>
                <w:rFonts w:ascii="宋体" w:hAnsi="宋体" w:cs="宋体" w:hint="eastAsia"/>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0DA45E6" w14:textId="77777777" w:rsidR="002B60D1" w:rsidRDefault="002B60D1" w:rsidP="00F01AEB">
            <w:pPr>
              <w:jc w:val="left"/>
              <w:rPr>
                <w:rFonts w:ascii="宋体" w:hAnsi="宋体" w:cs="宋体" w:hint="eastAsia"/>
                <w:sz w:val="24"/>
              </w:rPr>
            </w:pPr>
          </w:p>
        </w:tc>
      </w:tr>
      <w:tr w:rsidR="002B60D1" w14:paraId="2B20A302" w14:textId="77777777" w:rsidTr="00F01AEB">
        <w:trPr>
          <w:trHeight w:val="90"/>
          <w:jc w:val="center"/>
        </w:trPr>
        <w:tc>
          <w:tcPr>
            <w:tcW w:w="8010" w:type="dxa"/>
            <w:tcBorders>
              <w:top w:val="single" w:sz="4" w:space="0" w:color="auto"/>
              <w:left w:val="single" w:sz="4" w:space="0" w:color="auto"/>
              <w:bottom w:val="single" w:sz="4" w:space="0" w:color="auto"/>
              <w:right w:val="single" w:sz="4" w:space="0" w:color="auto"/>
            </w:tcBorders>
            <w:vAlign w:val="center"/>
          </w:tcPr>
          <w:p w14:paraId="552364C1" w14:textId="77777777" w:rsidR="002B60D1" w:rsidRDefault="002B60D1" w:rsidP="00F01AEB">
            <w:pPr>
              <w:widowControl/>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一）拓展社会办医空间。落实“十三五”期间医疗服务体系规划要求，严格控制公立医院数量和规模，为社会办医留足发展空间。本市在新增或调整医疗卫生资源时，要首先考虑由社会力量举办或运营有关医疗机构。社会力量在医疗资源薄弱区域和康复、护理、精神卫生等短缺专科领域举办的非营利性医疗机构，可与公立医疗机构同等提供场地或租金补贴和其他支持政策。规范和引导社会力量举办康复医疗中心、护理中心、健康体检中心、眼科医院、妇儿医院等医疗机构和连锁化、集团化经营的医学检验实验室、病理诊断中心、医学影像中心、血液透析中心等独立设置医疗机构，加强规范化管理和质量控制，提高同质化水平。</w:t>
            </w:r>
          </w:p>
        </w:tc>
        <w:tc>
          <w:tcPr>
            <w:tcW w:w="2000" w:type="dxa"/>
            <w:tcBorders>
              <w:top w:val="single" w:sz="4" w:space="0" w:color="auto"/>
              <w:left w:val="single" w:sz="4" w:space="0" w:color="auto"/>
              <w:bottom w:val="single" w:sz="4" w:space="0" w:color="auto"/>
              <w:right w:val="single" w:sz="4" w:space="0" w:color="auto"/>
            </w:tcBorders>
            <w:vAlign w:val="center"/>
          </w:tcPr>
          <w:p w14:paraId="49DD103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国家发展改革委、财政部、国家卫生健康委等部门会同各地负责落实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40C3C820"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市发展改革委、市财政局、市卫生健康委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31E14BAB"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22A8251B" w14:textId="77777777" w:rsidTr="00F01AEB">
        <w:trPr>
          <w:trHeight w:val="3114"/>
          <w:jc w:val="center"/>
        </w:trPr>
        <w:tc>
          <w:tcPr>
            <w:tcW w:w="8010" w:type="dxa"/>
            <w:tcBorders>
              <w:top w:val="single" w:sz="4" w:space="0" w:color="auto"/>
              <w:left w:val="single" w:sz="4" w:space="0" w:color="auto"/>
              <w:bottom w:val="single" w:sz="4" w:space="0" w:color="auto"/>
              <w:right w:val="single" w:sz="4" w:space="0" w:color="auto"/>
            </w:tcBorders>
            <w:vAlign w:val="center"/>
          </w:tcPr>
          <w:p w14:paraId="1E1A4CEF"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二）扩大用地供给。在安排国有建设用地年度供应计划时，对于医疗设施不足的地区，要在供地计划中落实并优先保障医疗卫生用地。社会力量可以通过政府划拨、协议出让、租赁等方式取得医疗卫生用地使用权，新供医疗卫生用地在出让信息公开披露的合理期限内只有一个意向用地者的，依法可按协议方式供应。经土地和房屋所有法定权利人及其他产权人同意后，对闲置商业、办公、工业等用房作必要改造用于举办医疗机构的，可适用过渡期政策，在5年内继续按原用途和权利类型使用土地，但原土地有偿使用合同约定或划拨决定书规定不得改变土地用途或改变用途由政府收回土地使用权的除外。</w:t>
            </w:r>
          </w:p>
        </w:tc>
        <w:tc>
          <w:tcPr>
            <w:tcW w:w="2000" w:type="dxa"/>
            <w:tcBorders>
              <w:top w:val="single" w:sz="4" w:space="0" w:color="auto"/>
              <w:left w:val="single" w:sz="4" w:space="0" w:color="auto"/>
              <w:bottom w:val="single" w:sz="4" w:space="0" w:color="auto"/>
              <w:right w:val="single" w:sz="4" w:space="0" w:color="auto"/>
            </w:tcBorders>
            <w:vAlign w:val="center"/>
          </w:tcPr>
          <w:p w14:paraId="7206320E"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自然资源部、国家卫生健康委、住房城乡建设部等部门会同各地负责落实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72BB3CFE"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市规划自然资源委、市卫生健康委、市住建委</w:t>
            </w:r>
          </w:p>
        </w:tc>
        <w:tc>
          <w:tcPr>
            <w:tcW w:w="1680" w:type="dxa"/>
            <w:tcBorders>
              <w:top w:val="single" w:sz="4" w:space="0" w:color="auto"/>
              <w:left w:val="single" w:sz="4" w:space="0" w:color="auto"/>
              <w:bottom w:val="single" w:sz="4" w:space="0" w:color="auto"/>
              <w:right w:val="single" w:sz="4" w:space="0" w:color="auto"/>
            </w:tcBorders>
            <w:vAlign w:val="center"/>
          </w:tcPr>
          <w:p w14:paraId="141FCA7F"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2E66CDFF" w14:textId="77777777" w:rsidTr="00F01AEB">
        <w:trPr>
          <w:trHeight w:val="1740"/>
          <w:jc w:val="center"/>
        </w:trPr>
        <w:tc>
          <w:tcPr>
            <w:tcW w:w="8010" w:type="dxa"/>
            <w:tcBorders>
              <w:top w:val="single" w:sz="4" w:space="0" w:color="auto"/>
              <w:left w:val="single" w:sz="4" w:space="0" w:color="auto"/>
              <w:bottom w:val="single" w:sz="4" w:space="0" w:color="auto"/>
              <w:right w:val="single" w:sz="4" w:space="0" w:color="auto"/>
            </w:tcBorders>
            <w:vAlign w:val="center"/>
          </w:tcPr>
          <w:p w14:paraId="27A454C7"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lastRenderedPageBreak/>
              <w:t>（三）推广政府购买服务。创新政府提供公共卫生服务方式，进一步加大政府购买服务力度。本市要完善政府购买医疗卫生服务政策，明确购买服务的主体、内容、方式、程序和监督管理等细则。按照公平竞争择优的原则，支持向社会办基层医疗机构购买服务，为社区居民提供家庭医生签约和有关公共卫生服务，通过开展养老照护、家庭病床、上门诊疗等服务方便居民。</w:t>
            </w:r>
          </w:p>
        </w:tc>
        <w:tc>
          <w:tcPr>
            <w:tcW w:w="2000" w:type="dxa"/>
            <w:tcBorders>
              <w:top w:val="single" w:sz="4" w:space="0" w:color="auto"/>
              <w:left w:val="single" w:sz="4" w:space="0" w:color="auto"/>
              <w:bottom w:val="single" w:sz="4" w:space="0" w:color="auto"/>
              <w:right w:val="single" w:sz="4" w:space="0" w:color="auto"/>
            </w:tcBorders>
            <w:vAlign w:val="center"/>
          </w:tcPr>
          <w:p w14:paraId="66551335"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国家卫生健康委、财政部等部门会同各地负责落实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68CECBF1"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市卫生健康委、市财政局、市民政局</w:t>
            </w:r>
          </w:p>
        </w:tc>
        <w:tc>
          <w:tcPr>
            <w:tcW w:w="1680" w:type="dxa"/>
            <w:tcBorders>
              <w:top w:val="single" w:sz="4" w:space="0" w:color="auto"/>
              <w:left w:val="single" w:sz="4" w:space="0" w:color="auto"/>
              <w:bottom w:val="single" w:sz="4" w:space="0" w:color="auto"/>
              <w:right w:val="single" w:sz="4" w:space="0" w:color="auto"/>
            </w:tcBorders>
            <w:vAlign w:val="center"/>
          </w:tcPr>
          <w:p w14:paraId="6072C7C6"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47FA3BD8" w14:textId="77777777" w:rsidTr="00F01AEB">
        <w:trPr>
          <w:trHeight w:val="1230"/>
          <w:jc w:val="center"/>
        </w:trPr>
        <w:tc>
          <w:tcPr>
            <w:tcW w:w="8010" w:type="dxa"/>
            <w:tcBorders>
              <w:top w:val="single" w:sz="4" w:space="0" w:color="auto"/>
              <w:left w:val="single" w:sz="4" w:space="0" w:color="auto"/>
              <w:bottom w:val="single" w:sz="4" w:space="0" w:color="auto"/>
              <w:right w:val="single" w:sz="4" w:space="0" w:color="auto"/>
            </w:tcBorders>
            <w:vAlign w:val="center"/>
          </w:tcPr>
          <w:p w14:paraId="38F98C0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（四）落实税收优惠政策。营利性社会办医，包括诊所等小型医疗机构，可按规定享受小微企业税收优惠政策。社会办医可按规定申请认定高新技术企业，享受相应税收优惠。</w:t>
            </w:r>
          </w:p>
        </w:tc>
        <w:tc>
          <w:tcPr>
            <w:tcW w:w="2000" w:type="dxa"/>
            <w:tcBorders>
              <w:top w:val="single" w:sz="4" w:space="0" w:color="auto"/>
              <w:left w:val="single" w:sz="4" w:space="0" w:color="auto"/>
              <w:bottom w:val="single" w:sz="4" w:space="0" w:color="auto"/>
              <w:right w:val="single" w:sz="4" w:space="0" w:color="auto"/>
            </w:tcBorders>
            <w:vAlign w:val="center"/>
          </w:tcPr>
          <w:p w14:paraId="587D9A98"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科技部、财政部、税务总局等部门会同各地负责落实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65A09FF2"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市科委、市财政局、市税务局</w:t>
            </w:r>
          </w:p>
        </w:tc>
        <w:tc>
          <w:tcPr>
            <w:tcW w:w="1680" w:type="dxa"/>
            <w:tcBorders>
              <w:top w:val="single" w:sz="4" w:space="0" w:color="auto"/>
              <w:left w:val="single" w:sz="4" w:space="0" w:color="auto"/>
              <w:bottom w:val="single" w:sz="4" w:space="0" w:color="auto"/>
              <w:right w:val="single" w:sz="4" w:space="0" w:color="auto"/>
            </w:tcBorders>
            <w:vAlign w:val="center"/>
          </w:tcPr>
          <w:p w14:paraId="5E24E1E0"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1A8BCD27" w14:textId="77777777" w:rsidTr="00F01AEB">
        <w:trPr>
          <w:trHeight w:val="285"/>
          <w:jc w:val="center"/>
        </w:trPr>
        <w:tc>
          <w:tcPr>
            <w:tcW w:w="8010" w:type="dxa"/>
            <w:tcBorders>
              <w:top w:val="single" w:sz="4" w:space="0" w:color="auto"/>
              <w:left w:val="single" w:sz="4" w:space="0" w:color="auto"/>
              <w:bottom w:val="single" w:sz="4" w:space="0" w:color="auto"/>
              <w:right w:val="single" w:sz="4" w:space="0" w:color="auto"/>
            </w:tcBorders>
            <w:vAlign w:val="center"/>
          </w:tcPr>
          <w:p w14:paraId="65D6B5C4" w14:textId="77777777" w:rsidR="002B60D1" w:rsidRDefault="002B60D1" w:rsidP="00F01AEB">
            <w:pPr>
              <w:widowControl/>
              <w:jc w:val="left"/>
              <w:textAlignment w:val="center"/>
              <w:rPr>
                <w:rFonts w:ascii="黑体" w:eastAsia="黑体" w:hAnsi="宋体" w:cs="黑体" w:hint="eastAsia"/>
                <w:sz w:val="24"/>
              </w:rPr>
            </w:pPr>
            <w:r>
              <w:rPr>
                <w:rFonts w:ascii="黑体" w:eastAsia="黑体" w:hAnsi="宋体" w:cs="黑体" w:hint="eastAsia"/>
                <w:kern w:val="0"/>
                <w:sz w:val="24"/>
              </w:rPr>
              <w:t>二、推进“放管服”，简化准入审批服务</w:t>
            </w:r>
          </w:p>
        </w:tc>
        <w:tc>
          <w:tcPr>
            <w:tcW w:w="2000" w:type="dxa"/>
            <w:tcBorders>
              <w:top w:val="single" w:sz="4" w:space="0" w:color="auto"/>
              <w:left w:val="single" w:sz="4" w:space="0" w:color="auto"/>
              <w:bottom w:val="single" w:sz="4" w:space="0" w:color="auto"/>
              <w:right w:val="single" w:sz="4" w:space="0" w:color="auto"/>
            </w:tcBorders>
            <w:vAlign w:val="center"/>
          </w:tcPr>
          <w:p w14:paraId="79081A68" w14:textId="77777777" w:rsidR="002B60D1" w:rsidRDefault="002B60D1" w:rsidP="00F01AEB">
            <w:pPr>
              <w:rPr>
                <w:rFonts w:ascii="宋体" w:hAnsi="宋体" w:cs="宋体" w:hint="eastAsia"/>
                <w:sz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46EA11CD" w14:textId="77777777" w:rsidR="002B60D1" w:rsidRDefault="002B60D1" w:rsidP="00F01AEB">
            <w:pPr>
              <w:rPr>
                <w:rFonts w:ascii="宋体" w:hAnsi="宋体" w:cs="宋体" w:hint="eastAsia"/>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CB9AF6E" w14:textId="77777777" w:rsidR="002B60D1" w:rsidRDefault="002B60D1" w:rsidP="00F01AEB">
            <w:pPr>
              <w:jc w:val="center"/>
              <w:rPr>
                <w:rFonts w:ascii="宋体" w:hAnsi="宋体" w:cs="宋体" w:hint="eastAsia"/>
                <w:sz w:val="24"/>
              </w:rPr>
            </w:pPr>
          </w:p>
        </w:tc>
      </w:tr>
      <w:tr w:rsidR="002B60D1" w14:paraId="1EF07D7C" w14:textId="77777777" w:rsidTr="00F01AEB">
        <w:trPr>
          <w:trHeight w:val="2180"/>
          <w:jc w:val="center"/>
        </w:trPr>
        <w:tc>
          <w:tcPr>
            <w:tcW w:w="8010" w:type="dxa"/>
            <w:tcBorders>
              <w:top w:val="single" w:sz="4" w:space="0" w:color="auto"/>
              <w:left w:val="single" w:sz="4" w:space="0" w:color="auto"/>
              <w:bottom w:val="single" w:sz="4" w:space="0" w:color="auto"/>
              <w:right w:val="single" w:sz="4" w:space="0" w:color="auto"/>
            </w:tcBorders>
            <w:vAlign w:val="center"/>
          </w:tcPr>
          <w:p w14:paraId="004A21DF"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五）提高准入审批效率。要按照党中央、国务院深化“放管服”改革要求，于2019年底前出台本市优化社会办医跨部门联动审批实施办法，明确跨部门医疗机构设置申请审批首家受理窗口负责工作机制，明确各审批环节时限要求。加强运用信息化手段，推动部门审批信息共享联动，减轻行政管理相对人负担。设置20张床位以下或环境影响很小、不需要进行环境影响评价的医疗机构，可实行环境影响登记表备案管理。</w:t>
            </w:r>
          </w:p>
        </w:tc>
        <w:tc>
          <w:tcPr>
            <w:tcW w:w="2000" w:type="dxa"/>
            <w:tcBorders>
              <w:top w:val="single" w:sz="4" w:space="0" w:color="auto"/>
              <w:left w:val="single" w:sz="4" w:space="0" w:color="auto"/>
              <w:bottom w:val="single" w:sz="4" w:space="0" w:color="auto"/>
              <w:right w:val="single" w:sz="4" w:space="0" w:color="auto"/>
            </w:tcBorders>
            <w:vAlign w:val="center"/>
          </w:tcPr>
          <w:p w14:paraId="37020D2D"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国家发展改革委、国家卫生健康委、生态环境部、住房城乡建设部、市场监管总局等部门会同各地负责落实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64C054C8"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市发展改革委、市卫生健康委、市生态环境局、市规划自然资源委、市住建委、市市场监管局</w:t>
            </w:r>
          </w:p>
        </w:tc>
        <w:tc>
          <w:tcPr>
            <w:tcW w:w="1680" w:type="dxa"/>
            <w:tcBorders>
              <w:top w:val="single" w:sz="4" w:space="0" w:color="auto"/>
              <w:left w:val="single" w:sz="4" w:space="0" w:color="auto"/>
              <w:bottom w:val="single" w:sz="4" w:space="0" w:color="auto"/>
              <w:right w:val="single" w:sz="4" w:space="0" w:color="auto"/>
            </w:tcBorders>
            <w:vAlign w:val="center"/>
          </w:tcPr>
          <w:p w14:paraId="4181784A"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2019年底前</w:t>
            </w:r>
          </w:p>
        </w:tc>
      </w:tr>
      <w:tr w:rsidR="002B60D1" w14:paraId="2145304F" w14:textId="77777777" w:rsidTr="00F01AEB">
        <w:trPr>
          <w:trHeight w:val="2726"/>
          <w:jc w:val="center"/>
        </w:trPr>
        <w:tc>
          <w:tcPr>
            <w:tcW w:w="8010" w:type="dxa"/>
            <w:tcBorders>
              <w:top w:val="single" w:sz="4" w:space="0" w:color="auto"/>
              <w:left w:val="single" w:sz="4" w:space="0" w:color="auto"/>
              <w:bottom w:val="single" w:sz="4" w:space="0" w:color="auto"/>
              <w:right w:val="single" w:sz="4" w:space="0" w:color="auto"/>
            </w:tcBorders>
            <w:vAlign w:val="center"/>
          </w:tcPr>
          <w:p w14:paraId="0B0AC648"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lastRenderedPageBreak/>
              <w:t>（六）规范审核评价。各级卫生健康行政部门（含中医药主管部门，下同）依法实时受理医疗机构级别、诊疗科目变更申请，在法定时间内办结，提高审批效率。审批过程相关信息要依法公开，新办医疗机构专家审核结果要同时送审批部门和申请人。支持和鼓励社会办医参加医院等级评审，卫生健康行政部门应当及时受理相关申请，在3个月内反馈评审结果，并及时认定。将社会办医纳入医疗服务和医疗质量管理控制及评价体系，促进社会办医医疗质量安全水平不断提高。</w:t>
            </w:r>
          </w:p>
        </w:tc>
        <w:tc>
          <w:tcPr>
            <w:tcW w:w="2000" w:type="dxa"/>
            <w:tcBorders>
              <w:top w:val="single" w:sz="4" w:space="0" w:color="auto"/>
              <w:left w:val="single" w:sz="4" w:space="0" w:color="auto"/>
              <w:bottom w:val="single" w:sz="4" w:space="0" w:color="auto"/>
              <w:right w:val="single" w:sz="4" w:space="0" w:color="auto"/>
            </w:tcBorders>
            <w:vAlign w:val="center"/>
          </w:tcPr>
          <w:p w14:paraId="37656F87"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497470CC"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13182B63"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3061A6BA" w14:textId="77777777" w:rsidTr="00F01AEB">
        <w:trPr>
          <w:trHeight w:val="90"/>
          <w:jc w:val="center"/>
        </w:trPr>
        <w:tc>
          <w:tcPr>
            <w:tcW w:w="8010" w:type="dxa"/>
            <w:tcBorders>
              <w:top w:val="single" w:sz="4" w:space="0" w:color="auto"/>
              <w:left w:val="single" w:sz="4" w:space="0" w:color="auto"/>
              <w:bottom w:val="single" w:sz="4" w:space="0" w:color="auto"/>
              <w:right w:val="single" w:sz="4" w:space="0" w:color="auto"/>
            </w:tcBorders>
            <w:vAlign w:val="center"/>
          </w:tcPr>
          <w:p w14:paraId="765B1B24"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（七）进一步放宽规划限制。政府对社会办医区域总量和空间布局不作规划限制。乙类大型医用设备配置实行告知承诺制，取消床位规模要求。</w:t>
            </w:r>
          </w:p>
        </w:tc>
        <w:tc>
          <w:tcPr>
            <w:tcW w:w="2000" w:type="dxa"/>
            <w:tcBorders>
              <w:top w:val="single" w:sz="4" w:space="0" w:color="auto"/>
              <w:left w:val="single" w:sz="4" w:space="0" w:color="auto"/>
              <w:bottom w:val="single" w:sz="4" w:space="0" w:color="auto"/>
              <w:right w:val="single" w:sz="4" w:space="0" w:color="auto"/>
            </w:tcBorders>
            <w:vAlign w:val="center"/>
          </w:tcPr>
          <w:p w14:paraId="202D291E"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7F8F333E"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33ADDF70"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2C77857D" w14:textId="77777777" w:rsidTr="00F01AEB">
        <w:trPr>
          <w:trHeight w:val="1140"/>
          <w:jc w:val="center"/>
        </w:trPr>
        <w:tc>
          <w:tcPr>
            <w:tcW w:w="8010" w:type="dxa"/>
            <w:tcBorders>
              <w:top w:val="single" w:sz="4" w:space="0" w:color="auto"/>
              <w:left w:val="single" w:sz="4" w:space="0" w:color="auto"/>
              <w:bottom w:val="single" w:sz="4" w:space="0" w:color="auto"/>
              <w:right w:val="single" w:sz="4" w:space="0" w:color="auto"/>
            </w:tcBorders>
            <w:vAlign w:val="center"/>
          </w:tcPr>
          <w:p w14:paraId="2D45FBA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（八）试点诊所备案管理。2019—2020年，开展诊所备案管理试点。跨行政区域经营的连锁化、集团化诊所由上一级卫生健康行政部门统一备案，跨省级行政区划经营的，由所在省份卫生健康行政部门分别备案。</w:t>
            </w:r>
          </w:p>
        </w:tc>
        <w:tc>
          <w:tcPr>
            <w:tcW w:w="2000" w:type="dxa"/>
            <w:tcBorders>
              <w:top w:val="single" w:sz="4" w:space="0" w:color="auto"/>
              <w:left w:val="single" w:sz="4" w:space="0" w:color="auto"/>
              <w:bottom w:val="single" w:sz="4" w:space="0" w:color="auto"/>
              <w:right w:val="single" w:sz="4" w:space="0" w:color="auto"/>
            </w:tcBorders>
            <w:vAlign w:val="center"/>
          </w:tcPr>
          <w:p w14:paraId="70D3CD1E"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国家卫生健康委、国家中医药局等部门会同各地负责落实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0870F27C"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701338D0"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2020年底前</w:t>
            </w:r>
          </w:p>
        </w:tc>
      </w:tr>
      <w:tr w:rsidR="002B60D1" w14:paraId="30961E3B" w14:textId="77777777" w:rsidTr="00F01AEB">
        <w:trPr>
          <w:trHeight w:val="285"/>
          <w:jc w:val="center"/>
        </w:trPr>
        <w:tc>
          <w:tcPr>
            <w:tcW w:w="8010" w:type="dxa"/>
            <w:tcBorders>
              <w:top w:val="single" w:sz="4" w:space="0" w:color="auto"/>
              <w:left w:val="single" w:sz="4" w:space="0" w:color="auto"/>
              <w:bottom w:val="single" w:sz="4" w:space="0" w:color="auto"/>
              <w:right w:val="single" w:sz="4" w:space="0" w:color="auto"/>
            </w:tcBorders>
            <w:vAlign w:val="center"/>
          </w:tcPr>
          <w:p w14:paraId="0048E50E" w14:textId="77777777" w:rsidR="002B60D1" w:rsidRDefault="002B60D1" w:rsidP="00F01AEB">
            <w:pPr>
              <w:widowControl/>
              <w:jc w:val="left"/>
              <w:textAlignment w:val="center"/>
              <w:rPr>
                <w:rFonts w:ascii="黑体" w:eastAsia="黑体" w:hAnsi="宋体" w:cs="黑体" w:hint="eastAsia"/>
                <w:sz w:val="24"/>
              </w:rPr>
            </w:pPr>
            <w:r>
              <w:rPr>
                <w:rFonts w:ascii="黑体" w:eastAsia="黑体" w:hAnsi="宋体" w:cs="黑体" w:hint="eastAsia"/>
                <w:kern w:val="0"/>
                <w:sz w:val="24"/>
              </w:rPr>
              <w:t>三、公立医疗机构与社会办医分工合作</w:t>
            </w:r>
          </w:p>
        </w:tc>
        <w:tc>
          <w:tcPr>
            <w:tcW w:w="2000" w:type="dxa"/>
            <w:tcBorders>
              <w:top w:val="single" w:sz="4" w:space="0" w:color="auto"/>
              <w:left w:val="single" w:sz="4" w:space="0" w:color="auto"/>
              <w:bottom w:val="single" w:sz="4" w:space="0" w:color="auto"/>
              <w:right w:val="single" w:sz="4" w:space="0" w:color="auto"/>
            </w:tcBorders>
            <w:vAlign w:val="center"/>
          </w:tcPr>
          <w:p w14:paraId="0787F8FF" w14:textId="77777777" w:rsidR="002B60D1" w:rsidRDefault="002B60D1" w:rsidP="00F01AEB">
            <w:pPr>
              <w:rPr>
                <w:rFonts w:ascii="宋体" w:hAnsi="宋体" w:cs="宋体" w:hint="eastAsia"/>
                <w:sz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0667F6E1" w14:textId="77777777" w:rsidR="002B60D1" w:rsidRDefault="002B60D1" w:rsidP="00F01AEB">
            <w:pPr>
              <w:rPr>
                <w:rFonts w:ascii="宋体" w:hAnsi="宋体" w:cs="宋体" w:hint="eastAsia"/>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D76C5FB" w14:textId="77777777" w:rsidR="002B60D1" w:rsidRDefault="002B60D1" w:rsidP="00F01AEB">
            <w:pPr>
              <w:jc w:val="center"/>
              <w:rPr>
                <w:rFonts w:ascii="宋体" w:hAnsi="宋体" w:cs="宋体" w:hint="eastAsia"/>
                <w:sz w:val="24"/>
              </w:rPr>
            </w:pPr>
          </w:p>
        </w:tc>
      </w:tr>
      <w:tr w:rsidR="002B60D1" w14:paraId="12719AE1" w14:textId="77777777" w:rsidTr="00F01AEB">
        <w:trPr>
          <w:trHeight w:val="90"/>
          <w:jc w:val="center"/>
        </w:trPr>
        <w:tc>
          <w:tcPr>
            <w:tcW w:w="8010" w:type="dxa"/>
            <w:tcBorders>
              <w:top w:val="single" w:sz="4" w:space="0" w:color="auto"/>
              <w:left w:val="single" w:sz="4" w:space="0" w:color="auto"/>
              <w:bottom w:val="single" w:sz="4" w:space="0" w:color="auto"/>
              <w:right w:val="single" w:sz="4" w:space="0" w:color="auto"/>
            </w:tcBorders>
            <w:vAlign w:val="center"/>
          </w:tcPr>
          <w:p w14:paraId="0A128D89"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九）发挥三级公立医院带动作用。完善医联体网格化布局，社会办医可以选择加入，综合力量或者专科服务能力较强的社会办医可牵头组建医联体，鼓励适度竞争。支持公办和社会办医按照平等自愿原则组建专科联盟。支持社会办医参加远程医疗协作网，提高诊疗服务能力。支持社会办医优先承接三级公立医院下转康复、护理、安宁疗护等业务，促进降低三级医院的平均住院日和运营成本，提高医疗服务效率，使其聚焦三级医院医疗主业，建立医疗机构间合理的社会分工。对在社区提供康复、护理服务的机构，要依法给予税费减免、资金支持、水电气热价格优惠等扶持。支持三级公立医院与</w:t>
            </w:r>
            <w:r>
              <w:rPr>
                <w:rFonts w:ascii="仿宋_GB2312" w:eastAsia="仿宋_GB2312" w:hAnsi="宋体" w:cs="仿宋_GB2312" w:hint="eastAsia"/>
                <w:kern w:val="0"/>
                <w:sz w:val="24"/>
              </w:rPr>
              <w:lastRenderedPageBreak/>
              <w:t>社会办医共享医学影像、医学检验、病理诊断等服务，形成全社会医疗合作管理体系，有关服务协议可以作为社会办医相关诊疗科目登记依据。</w:t>
            </w:r>
          </w:p>
        </w:tc>
        <w:tc>
          <w:tcPr>
            <w:tcW w:w="2000" w:type="dxa"/>
            <w:tcBorders>
              <w:top w:val="single" w:sz="4" w:space="0" w:color="auto"/>
              <w:left w:val="single" w:sz="4" w:space="0" w:color="auto"/>
              <w:bottom w:val="single" w:sz="4" w:space="0" w:color="auto"/>
              <w:right w:val="single" w:sz="4" w:space="0" w:color="auto"/>
            </w:tcBorders>
            <w:vAlign w:val="center"/>
          </w:tcPr>
          <w:p w14:paraId="04CC7AEB"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lastRenderedPageBreak/>
              <w:t>国家卫生健康委、国家发展改革委、财政部、税务总局等部门会同各地负责落实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33943B0D"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市卫生健康委、市发展改革委、市财政局、市税务局</w:t>
            </w:r>
          </w:p>
        </w:tc>
        <w:tc>
          <w:tcPr>
            <w:tcW w:w="1680" w:type="dxa"/>
            <w:tcBorders>
              <w:top w:val="single" w:sz="4" w:space="0" w:color="auto"/>
              <w:left w:val="single" w:sz="4" w:space="0" w:color="auto"/>
              <w:bottom w:val="single" w:sz="4" w:space="0" w:color="auto"/>
              <w:right w:val="single" w:sz="4" w:space="0" w:color="auto"/>
            </w:tcBorders>
            <w:vAlign w:val="center"/>
          </w:tcPr>
          <w:p w14:paraId="58AA259B"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77E7EC0D" w14:textId="77777777" w:rsidTr="00F01AEB">
        <w:trPr>
          <w:trHeight w:val="415"/>
          <w:jc w:val="center"/>
        </w:trPr>
        <w:tc>
          <w:tcPr>
            <w:tcW w:w="8010" w:type="dxa"/>
            <w:tcBorders>
              <w:top w:val="single" w:sz="4" w:space="0" w:color="auto"/>
              <w:left w:val="single" w:sz="4" w:space="0" w:color="auto"/>
              <w:bottom w:val="single" w:sz="4" w:space="0" w:color="auto"/>
              <w:right w:val="single" w:sz="4" w:space="0" w:color="auto"/>
            </w:tcBorders>
            <w:vAlign w:val="center"/>
          </w:tcPr>
          <w:p w14:paraId="2B4F6EF9"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十）探索医疗机构多种合作模式。支持社会办医与公立医院开展医疗业务、学科建设、人才培养等合作，倡导开展各类医疗机构广泛协作、联动、支持模式试点，并建立合理的分工与分配机制，各地要出台规范合作的具体办法，国务院有关部门要加强指导。引导和规范社会力量通过多种形式参与公立医院改制重组，完善改制重组过程中涉及的资产招拍挂、人员身份转换、无形资产评估等配套政策。</w:t>
            </w:r>
          </w:p>
        </w:tc>
        <w:tc>
          <w:tcPr>
            <w:tcW w:w="2000" w:type="dxa"/>
            <w:tcBorders>
              <w:top w:val="single" w:sz="4" w:space="0" w:color="auto"/>
              <w:left w:val="single" w:sz="4" w:space="0" w:color="auto"/>
              <w:bottom w:val="single" w:sz="4" w:space="0" w:color="auto"/>
              <w:right w:val="single" w:sz="4" w:space="0" w:color="auto"/>
            </w:tcBorders>
            <w:vAlign w:val="center"/>
          </w:tcPr>
          <w:p w14:paraId="21611A01"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国家卫生健康委、财政部、人力资源社会保障部、自然资源部、住房城乡建设部、国务院国资委等部门会同各地负责落实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252F602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市卫生健康委、市财政局、市人力社保局、市规划自然资源委、市住建委</w:t>
            </w:r>
          </w:p>
        </w:tc>
        <w:tc>
          <w:tcPr>
            <w:tcW w:w="1680" w:type="dxa"/>
            <w:tcBorders>
              <w:top w:val="single" w:sz="4" w:space="0" w:color="auto"/>
              <w:left w:val="single" w:sz="4" w:space="0" w:color="auto"/>
              <w:bottom w:val="single" w:sz="4" w:space="0" w:color="auto"/>
              <w:right w:val="single" w:sz="4" w:space="0" w:color="auto"/>
            </w:tcBorders>
            <w:vAlign w:val="center"/>
          </w:tcPr>
          <w:p w14:paraId="258845BB"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529D1D68" w14:textId="77777777" w:rsidTr="00F01AEB">
        <w:trPr>
          <w:trHeight w:val="2565"/>
          <w:jc w:val="center"/>
        </w:trPr>
        <w:tc>
          <w:tcPr>
            <w:tcW w:w="8010" w:type="dxa"/>
            <w:tcBorders>
              <w:top w:val="single" w:sz="4" w:space="0" w:color="auto"/>
              <w:left w:val="single" w:sz="4" w:space="0" w:color="auto"/>
              <w:bottom w:val="single" w:sz="4" w:space="0" w:color="auto"/>
              <w:right w:val="single" w:sz="4" w:space="0" w:color="auto"/>
            </w:tcBorders>
            <w:vAlign w:val="center"/>
          </w:tcPr>
          <w:p w14:paraId="175795C0"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十一）拓展人才服务。全面实行医师、护士执业电子化注册制度。全面实施医师区域注册制度，推进护士区域注册管理。制定多机构执业医师与主要执业医疗机构聘用（劳动）合同参考范本和其他医疗机构的劳务协议参考范本，合理约定执业期限、时间安排、工作任务、医疗责任、薪酬、相关保险等，明确双方人事（劳动）关系和权利义务，支持和规范医师多机构执业。允许符合条件的在职、停薪留职医务人员申请设置医疗机构。完善“互联网+护理”服务标准，扩大优质医疗护理服务供给。</w:t>
            </w:r>
          </w:p>
        </w:tc>
        <w:tc>
          <w:tcPr>
            <w:tcW w:w="2000" w:type="dxa"/>
            <w:tcBorders>
              <w:top w:val="single" w:sz="4" w:space="0" w:color="auto"/>
              <w:left w:val="single" w:sz="4" w:space="0" w:color="auto"/>
              <w:bottom w:val="single" w:sz="4" w:space="0" w:color="auto"/>
              <w:right w:val="single" w:sz="4" w:space="0" w:color="auto"/>
            </w:tcBorders>
            <w:vAlign w:val="center"/>
          </w:tcPr>
          <w:p w14:paraId="1618B74D"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国家卫生健康委、人力资源社会保障部等部门会同各地负责落实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4D3CC290"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市卫生健康委、市人力社保局</w:t>
            </w:r>
          </w:p>
        </w:tc>
        <w:tc>
          <w:tcPr>
            <w:tcW w:w="1680" w:type="dxa"/>
            <w:tcBorders>
              <w:top w:val="single" w:sz="4" w:space="0" w:color="auto"/>
              <w:left w:val="single" w:sz="4" w:space="0" w:color="auto"/>
              <w:bottom w:val="single" w:sz="4" w:space="0" w:color="auto"/>
              <w:right w:val="single" w:sz="4" w:space="0" w:color="auto"/>
            </w:tcBorders>
            <w:vAlign w:val="center"/>
          </w:tcPr>
          <w:p w14:paraId="2F00F3FE"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0327D03E" w14:textId="77777777" w:rsidTr="00F01AEB">
        <w:trPr>
          <w:trHeight w:val="285"/>
          <w:jc w:val="center"/>
        </w:trPr>
        <w:tc>
          <w:tcPr>
            <w:tcW w:w="8010" w:type="dxa"/>
            <w:tcBorders>
              <w:top w:val="single" w:sz="4" w:space="0" w:color="auto"/>
              <w:left w:val="single" w:sz="4" w:space="0" w:color="auto"/>
              <w:bottom w:val="single" w:sz="4" w:space="0" w:color="auto"/>
              <w:right w:val="single" w:sz="4" w:space="0" w:color="auto"/>
            </w:tcBorders>
            <w:vAlign w:val="center"/>
          </w:tcPr>
          <w:p w14:paraId="707DF938" w14:textId="77777777" w:rsidR="002B60D1" w:rsidRDefault="002B60D1" w:rsidP="00F01AEB">
            <w:pPr>
              <w:widowControl/>
              <w:jc w:val="left"/>
              <w:textAlignment w:val="center"/>
              <w:rPr>
                <w:rFonts w:ascii="黑体" w:eastAsia="黑体" w:hAnsi="宋体" w:cs="黑体" w:hint="eastAsia"/>
                <w:sz w:val="24"/>
              </w:rPr>
            </w:pPr>
            <w:r>
              <w:rPr>
                <w:rFonts w:ascii="黑体" w:eastAsia="黑体" w:hAnsi="宋体" w:cs="黑体" w:hint="eastAsia"/>
                <w:kern w:val="0"/>
                <w:sz w:val="24"/>
              </w:rPr>
              <w:t>四、优化运营管理服务</w:t>
            </w:r>
          </w:p>
        </w:tc>
        <w:tc>
          <w:tcPr>
            <w:tcW w:w="2000" w:type="dxa"/>
            <w:tcBorders>
              <w:top w:val="single" w:sz="4" w:space="0" w:color="auto"/>
              <w:left w:val="single" w:sz="4" w:space="0" w:color="auto"/>
              <w:bottom w:val="single" w:sz="4" w:space="0" w:color="auto"/>
              <w:right w:val="single" w:sz="4" w:space="0" w:color="auto"/>
            </w:tcBorders>
            <w:vAlign w:val="center"/>
          </w:tcPr>
          <w:p w14:paraId="2BCEBC67" w14:textId="77777777" w:rsidR="002B60D1" w:rsidRDefault="002B60D1" w:rsidP="00F01AEB">
            <w:pPr>
              <w:rPr>
                <w:rFonts w:ascii="仿宋_GB2312" w:eastAsia="仿宋_GB2312" w:hAnsi="宋体" w:cs="仿宋_GB2312" w:hint="eastAsia"/>
                <w:sz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351E73FD" w14:textId="77777777" w:rsidR="002B60D1" w:rsidRDefault="002B60D1" w:rsidP="00F01AEB">
            <w:pPr>
              <w:rPr>
                <w:rFonts w:ascii="仿宋_GB2312" w:eastAsia="仿宋_GB2312" w:hAnsi="宋体" w:cs="仿宋_GB2312" w:hint="eastAsia"/>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C549011" w14:textId="77777777" w:rsidR="002B60D1" w:rsidRDefault="002B60D1" w:rsidP="00F01AEB">
            <w:pPr>
              <w:jc w:val="center"/>
              <w:rPr>
                <w:rFonts w:ascii="仿宋_GB2312" w:eastAsia="仿宋_GB2312" w:hAnsi="宋体" w:cs="仿宋_GB2312" w:hint="eastAsia"/>
                <w:sz w:val="24"/>
              </w:rPr>
            </w:pPr>
          </w:p>
        </w:tc>
      </w:tr>
      <w:tr w:rsidR="002B60D1" w14:paraId="6E63B3C3" w14:textId="77777777" w:rsidTr="00F01AEB">
        <w:trPr>
          <w:trHeight w:val="2565"/>
          <w:jc w:val="center"/>
        </w:trPr>
        <w:tc>
          <w:tcPr>
            <w:tcW w:w="8010" w:type="dxa"/>
            <w:tcBorders>
              <w:top w:val="single" w:sz="4" w:space="0" w:color="auto"/>
              <w:left w:val="single" w:sz="4" w:space="0" w:color="auto"/>
              <w:bottom w:val="single" w:sz="4" w:space="0" w:color="auto"/>
              <w:right w:val="single" w:sz="4" w:space="0" w:color="auto"/>
            </w:tcBorders>
            <w:vAlign w:val="center"/>
          </w:tcPr>
          <w:p w14:paraId="296C9BF0"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lastRenderedPageBreak/>
              <w:t>（十二）优化校验服务。卫生健康行政部门依法依规校验医疗机构，重点审查医疗服务能力和医疗质量。在保证医疗质量安全的前提下，多机构执业医师可以按实际执业情况纳入所执业医疗机构校验的医师基数。探索实行三级医院分阶段执业登记，并制定具体实施办法，在医疗机构设置批准书有效期内，允许先行登记不少于基本标准60%的床位并执业运行，在医疗机构设置批准书有效期满前，应当完成所有核准床位数的登记。推动医疗机构校验工作重点聚焦医疗质量安全等关键要素。</w:t>
            </w:r>
          </w:p>
        </w:tc>
        <w:tc>
          <w:tcPr>
            <w:tcW w:w="2000" w:type="dxa"/>
            <w:tcBorders>
              <w:top w:val="single" w:sz="4" w:space="0" w:color="auto"/>
              <w:left w:val="single" w:sz="4" w:space="0" w:color="auto"/>
              <w:bottom w:val="single" w:sz="4" w:space="0" w:color="auto"/>
              <w:right w:val="single" w:sz="4" w:space="0" w:color="auto"/>
            </w:tcBorders>
            <w:vAlign w:val="center"/>
          </w:tcPr>
          <w:p w14:paraId="46A70F9F"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国家卫生健康委等部门负责落实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120F118B"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6720BF9C"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0EAD62FF" w14:textId="77777777" w:rsidTr="00F01AEB">
        <w:trPr>
          <w:trHeight w:val="1995"/>
          <w:jc w:val="center"/>
        </w:trPr>
        <w:tc>
          <w:tcPr>
            <w:tcW w:w="8010" w:type="dxa"/>
            <w:tcBorders>
              <w:top w:val="single" w:sz="4" w:space="0" w:color="auto"/>
              <w:left w:val="single" w:sz="4" w:space="0" w:color="auto"/>
              <w:bottom w:val="single" w:sz="4" w:space="0" w:color="auto"/>
              <w:right w:val="single" w:sz="4" w:space="0" w:color="auto"/>
            </w:tcBorders>
            <w:vAlign w:val="center"/>
          </w:tcPr>
          <w:p w14:paraId="01F435DB"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十三）优化职称评审。优化医学类专业技术职称评审制度，医师申报临床类高级职称时，对外语成绩不作统一要求，对论文、科研等不作硬性规定，侧重评价临床工作能力和服务质量。社会办医专业技术人员与公立医疗机构专业技术人员一样同等参与职称评审，且不受岗位比例限制。面向社会组建的卫生系列高级职称评审委员会和医疗机构评审委员会中要有一定比例的社会办医行业组织和社会办医人员。</w:t>
            </w:r>
          </w:p>
        </w:tc>
        <w:tc>
          <w:tcPr>
            <w:tcW w:w="2000" w:type="dxa"/>
            <w:tcBorders>
              <w:top w:val="single" w:sz="4" w:space="0" w:color="auto"/>
              <w:left w:val="single" w:sz="4" w:space="0" w:color="auto"/>
              <w:bottom w:val="single" w:sz="4" w:space="0" w:color="auto"/>
              <w:right w:val="single" w:sz="4" w:space="0" w:color="auto"/>
            </w:tcBorders>
            <w:vAlign w:val="center"/>
          </w:tcPr>
          <w:p w14:paraId="10C2C95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国家卫生健康委、人力资源社会保障部等部门会同各地负责落实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1BB29342"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市卫生健康委、市人力社保局</w:t>
            </w:r>
          </w:p>
        </w:tc>
        <w:tc>
          <w:tcPr>
            <w:tcW w:w="1680" w:type="dxa"/>
            <w:tcBorders>
              <w:top w:val="single" w:sz="4" w:space="0" w:color="auto"/>
              <w:left w:val="single" w:sz="4" w:space="0" w:color="auto"/>
              <w:bottom w:val="single" w:sz="4" w:space="0" w:color="auto"/>
              <w:right w:val="single" w:sz="4" w:space="0" w:color="auto"/>
            </w:tcBorders>
            <w:vAlign w:val="center"/>
          </w:tcPr>
          <w:p w14:paraId="2CC7F922"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099BD69C" w14:textId="77777777" w:rsidTr="00F01AEB">
        <w:trPr>
          <w:trHeight w:val="720"/>
          <w:jc w:val="center"/>
        </w:trPr>
        <w:tc>
          <w:tcPr>
            <w:tcW w:w="8010" w:type="dxa"/>
            <w:tcBorders>
              <w:top w:val="single" w:sz="4" w:space="0" w:color="auto"/>
              <w:left w:val="single" w:sz="4" w:space="0" w:color="auto"/>
              <w:bottom w:val="single" w:sz="4" w:space="0" w:color="auto"/>
              <w:right w:val="single" w:sz="4" w:space="0" w:color="auto"/>
            </w:tcBorders>
            <w:vAlign w:val="center"/>
          </w:tcPr>
          <w:p w14:paraId="2CBB9BB7"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十四）提升临床服务和学术水平。从2019年开始，在遴选住院医师规范化培训基地、医学院校临床教学基地以及推进临床服务能力建设时，对符合条件的医疗机构同等对待，并向社会办医适当倾斜。医学类科研项目承担单位的选择坚持公开平等择优原则，一律不得对拟作为项目承担单位医疗机构的性质进行限制。</w:t>
            </w:r>
          </w:p>
        </w:tc>
        <w:tc>
          <w:tcPr>
            <w:tcW w:w="2000" w:type="dxa"/>
            <w:tcBorders>
              <w:top w:val="single" w:sz="4" w:space="0" w:color="auto"/>
              <w:left w:val="single" w:sz="4" w:space="0" w:color="auto"/>
              <w:bottom w:val="single" w:sz="4" w:space="0" w:color="auto"/>
              <w:right w:val="single" w:sz="4" w:space="0" w:color="auto"/>
            </w:tcBorders>
            <w:vAlign w:val="center"/>
          </w:tcPr>
          <w:p w14:paraId="34519578"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国家卫生健康委、财政部、教育部、科技部等部门会同各地负责落实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38DFFC34"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市卫生健康委、市财政局、市教委、市科委</w:t>
            </w:r>
          </w:p>
        </w:tc>
        <w:tc>
          <w:tcPr>
            <w:tcW w:w="1680" w:type="dxa"/>
            <w:tcBorders>
              <w:top w:val="single" w:sz="4" w:space="0" w:color="auto"/>
              <w:left w:val="single" w:sz="4" w:space="0" w:color="auto"/>
              <w:bottom w:val="single" w:sz="4" w:space="0" w:color="auto"/>
              <w:right w:val="single" w:sz="4" w:space="0" w:color="auto"/>
            </w:tcBorders>
            <w:vAlign w:val="center"/>
          </w:tcPr>
          <w:p w14:paraId="03DB280B"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2019年底</w:t>
            </w:r>
          </w:p>
        </w:tc>
      </w:tr>
      <w:tr w:rsidR="002B60D1" w14:paraId="3392A8BE" w14:textId="77777777" w:rsidTr="00F01AEB">
        <w:trPr>
          <w:trHeight w:val="1140"/>
          <w:jc w:val="center"/>
        </w:trPr>
        <w:tc>
          <w:tcPr>
            <w:tcW w:w="8010" w:type="dxa"/>
            <w:tcBorders>
              <w:top w:val="single" w:sz="4" w:space="0" w:color="auto"/>
              <w:left w:val="single" w:sz="4" w:space="0" w:color="auto"/>
              <w:bottom w:val="single" w:sz="4" w:space="0" w:color="auto"/>
              <w:right w:val="single" w:sz="4" w:space="0" w:color="auto"/>
            </w:tcBorders>
            <w:vAlign w:val="center"/>
          </w:tcPr>
          <w:p w14:paraId="3A84E362"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（十五）加大培训力度。政府使用财政性资金开展或以卫生健康行政部门名义组织的相关业务和人才培训，要为符合条件的各类医疗机构平等提供名额，并作为培训项目评价的重要内容。</w:t>
            </w:r>
          </w:p>
        </w:tc>
        <w:tc>
          <w:tcPr>
            <w:tcW w:w="2000" w:type="dxa"/>
            <w:tcBorders>
              <w:top w:val="single" w:sz="4" w:space="0" w:color="auto"/>
              <w:left w:val="single" w:sz="4" w:space="0" w:color="auto"/>
              <w:bottom w:val="single" w:sz="4" w:space="0" w:color="auto"/>
              <w:right w:val="single" w:sz="4" w:space="0" w:color="auto"/>
            </w:tcBorders>
            <w:vAlign w:val="center"/>
          </w:tcPr>
          <w:p w14:paraId="1713EFBC"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国家卫生健康委、财政部等部门会同各地负责落实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72E0BD8F"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市卫生健康委、市财政局</w:t>
            </w:r>
          </w:p>
        </w:tc>
        <w:tc>
          <w:tcPr>
            <w:tcW w:w="1680" w:type="dxa"/>
            <w:tcBorders>
              <w:top w:val="single" w:sz="4" w:space="0" w:color="auto"/>
              <w:left w:val="single" w:sz="4" w:space="0" w:color="auto"/>
              <w:bottom w:val="single" w:sz="4" w:space="0" w:color="auto"/>
              <w:right w:val="single" w:sz="4" w:space="0" w:color="auto"/>
            </w:tcBorders>
            <w:vAlign w:val="center"/>
          </w:tcPr>
          <w:p w14:paraId="32D514FB"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0027BC64" w14:textId="77777777" w:rsidTr="00F01AEB">
        <w:trPr>
          <w:trHeight w:val="285"/>
          <w:jc w:val="center"/>
        </w:trPr>
        <w:tc>
          <w:tcPr>
            <w:tcW w:w="8010" w:type="dxa"/>
            <w:tcBorders>
              <w:top w:val="single" w:sz="4" w:space="0" w:color="auto"/>
              <w:left w:val="single" w:sz="4" w:space="0" w:color="auto"/>
              <w:bottom w:val="single" w:sz="4" w:space="0" w:color="auto"/>
              <w:right w:val="single" w:sz="4" w:space="0" w:color="auto"/>
            </w:tcBorders>
            <w:vAlign w:val="center"/>
          </w:tcPr>
          <w:p w14:paraId="1C604669" w14:textId="77777777" w:rsidR="002B60D1" w:rsidRDefault="002B60D1" w:rsidP="00F01AEB">
            <w:pPr>
              <w:widowControl/>
              <w:jc w:val="left"/>
              <w:textAlignment w:val="center"/>
              <w:rPr>
                <w:rFonts w:ascii="黑体" w:eastAsia="黑体" w:hAnsi="宋体" w:cs="黑体" w:hint="eastAsia"/>
                <w:sz w:val="24"/>
              </w:rPr>
            </w:pPr>
            <w:r>
              <w:rPr>
                <w:rFonts w:ascii="黑体" w:eastAsia="黑体" w:hAnsi="宋体" w:cs="黑体" w:hint="eastAsia"/>
                <w:kern w:val="0"/>
                <w:sz w:val="24"/>
              </w:rPr>
              <w:t xml:space="preserve">　五、完善医疗保险支持政策</w:t>
            </w:r>
          </w:p>
        </w:tc>
        <w:tc>
          <w:tcPr>
            <w:tcW w:w="2000" w:type="dxa"/>
            <w:tcBorders>
              <w:top w:val="single" w:sz="4" w:space="0" w:color="auto"/>
              <w:left w:val="single" w:sz="4" w:space="0" w:color="auto"/>
              <w:bottom w:val="single" w:sz="4" w:space="0" w:color="auto"/>
              <w:right w:val="single" w:sz="4" w:space="0" w:color="auto"/>
            </w:tcBorders>
            <w:vAlign w:val="center"/>
          </w:tcPr>
          <w:p w14:paraId="3479E544" w14:textId="77777777" w:rsidR="002B60D1" w:rsidRDefault="002B60D1" w:rsidP="00F01AEB">
            <w:pPr>
              <w:rPr>
                <w:rFonts w:ascii="仿宋_GB2312" w:eastAsia="仿宋_GB2312" w:hAnsi="宋体" w:cs="仿宋_GB2312" w:hint="eastAsia"/>
                <w:sz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435D213E" w14:textId="77777777" w:rsidR="002B60D1" w:rsidRDefault="002B60D1" w:rsidP="00F01AEB">
            <w:pPr>
              <w:rPr>
                <w:rFonts w:ascii="仿宋_GB2312" w:eastAsia="仿宋_GB2312" w:hAnsi="宋体" w:cs="仿宋_GB2312" w:hint="eastAsia"/>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6D1228F" w14:textId="77777777" w:rsidR="002B60D1" w:rsidRDefault="002B60D1" w:rsidP="00F01AEB">
            <w:pPr>
              <w:jc w:val="center"/>
              <w:rPr>
                <w:rFonts w:ascii="仿宋_GB2312" w:eastAsia="仿宋_GB2312" w:hAnsi="宋体" w:cs="仿宋_GB2312" w:hint="eastAsia"/>
                <w:sz w:val="24"/>
              </w:rPr>
            </w:pPr>
          </w:p>
        </w:tc>
      </w:tr>
      <w:tr w:rsidR="002B60D1" w14:paraId="5D36654D" w14:textId="77777777" w:rsidTr="00F01AEB">
        <w:trPr>
          <w:trHeight w:val="90"/>
          <w:jc w:val="center"/>
        </w:trPr>
        <w:tc>
          <w:tcPr>
            <w:tcW w:w="8010" w:type="dxa"/>
            <w:tcBorders>
              <w:top w:val="single" w:sz="4" w:space="0" w:color="auto"/>
              <w:left w:val="single" w:sz="4" w:space="0" w:color="auto"/>
              <w:bottom w:val="single" w:sz="4" w:space="0" w:color="auto"/>
              <w:right w:val="single" w:sz="4" w:space="0" w:color="auto"/>
            </w:tcBorders>
            <w:vAlign w:val="center"/>
          </w:tcPr>
          <w:p w14:paraId="0F73062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lastRenderedPageBreak/>
              <w:t>（十六）优化医保管理服务。基本医疗保险、工伤保险、生育保险、医疗救助等社会保障的定点医疗机构实行动态化管理，将更多符合条件的社会办医纳入定点，进一步扩大社会办医纳入医保定点的覆盖面，社会办医正式运营3个月后即可按规定提出定点申请，定点评估完成时限不得超过3个月时间。医保部门要加强指导，为医疗机构改造信息系统提供支持和便利，方便定点医疗机构尽快为参保人提供服务。未能通过申请的，必须在3个月的评估期限结束后告知其缘由和整改内容，以方便其再次申请。鼓励医保定点社会办医在市级药品集中采购平台带量采购药品，自主议价，医保部门按不高于集中采购平台价格制定支付标准进行支付。依法设立的各类医疗机构均可自愿提出基本医疗保险和跨省异地就医直接结算定点申请，不得将医疗机构的举办主体、经营性质、规模和等级作为定点的前置条件，与医保管理和基金使用无关的处罚一律不得与定点申请挂钩。营利性医疗机构使用符合规定的发票，可作为医疗保险基金支付凭证。</w:t>
            </w:r>
            <w:r>
              <w:rPr>
                <w:rFonts w:ascii="仿宋_GB2312" w:eastAsia="仿宋_GB2312" w:hAnsi="宋体" w:cs="仿宋_GB2312" w:hint="eastAsia"/>
                <w:kern w:val="0"/>
                <w:sz w:val="24"/>
              </w:rPr>
              <w:br/>
              <w:t xml:space="preserve">　　医保部门要研究加强监督执法的政策和管理措施，不断完善提质增效、总额预算管理，提高总额预算指标的科学性、合理性，保障基金安全。要对基本医疗保险定点医疗机构管理政策开展全面规范清理，按照公立医疗机构与社会办医一视同仁要求调整完善政策，优化医保定点前置条件，缩短申请等待和审核时间。</w:t>
            </w:r>
          </w:p>
        </w:tc>
        <w:tc>
          <w:tcPr>
            <w:tcW w:w="2000" w:type="dxa"/>
            <w:tcBorders>
              <w:top w:val="single" w:sz="4" w:space="0" w:color="auto"/>
              <w:left w:val="single" w:sz="4" w:space="0" w:color="auto"/>
              <w:bottom w:val="single" w:sz="4" w:space="0" w:color="auto"/>
              <w:right w:val="single" w:sz="4" w:space="0" w:color="auto"/>
            </w:tcBorders>
            <w:vAlign w:val="center"/>
          </w:tcPr>
          <w:p w14:paraId="4ABF8DA9"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国家医保局会同各地负责落实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31AA7AE5"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市医保局</w:t>
            </w:r>
          </w:p>
        </w:tc>
        <w:tc>
          <w:tcPr>
            <w:tcW w:w="1680" w:type="dxa"/>
            <w:tcBorders>
              <w:top w:val="single" w:sz="4" w:space="0" w:color="auto"/>
              <w:left w:val="single" w:sz="4" w:space="0" w:color="auto"/>
              <w:bottom w:val="single" w:sz="4" w:space="0" w:color="auto"/>
              <w:right w:val="single" w:sz="4" w:space="0" w:color="auto"/>
            </w:tcBorders>
            <w:vAlign w:val="center"/>
          </w:tcPr>
          <w:p w14:paraId="743981D3"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62A076A6" w14:textId="77777777" w:rsidTr="00F01AEB">
        <w:trPr>
          <w:trHeight w:val="2595"/>
          <w:jc w:val="center"/>
        </w:trPr>
        <w:tc>
          <w:tcPr>
            <w:tcW w:w="8010" w:type="dxa"/>
            <w:tcBorders>
              <w:top w:val="single" w:sz="4" w:space="0" w:color="auto"/>
              <w:left w:val="single" w:sz="4" w:space="0" w:color="auto"/>
              <w:bottom w:val="single" w:sz="4" w:space="0" w:color="auto"/>
              <w:right w:val="single" w:sz="4" w:space="0" w:color="auto"/>
            </w:tcBorders>
            <w:vAlign w:val="center"/>
          </w:tcPr>
          <w:p w14:paraId="0AD91950" w14:textId="77777777" w:rsidR="002B60D1" w:rsidRDefault="002B60D1" w:rsidP="00F01AEB">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 xml:space="preserve">　（十七）支持社会办医发展“互联网+医疗健康”。</w:t>
            </w:r>
            <w:r>
              <w:rPr>
                <w:rStyle w:val="font01"/>
                <w:rFonts w:ascii="仿宋_GB2312" w:eastAsia="仿宋_GB2312" w:hAnsi="仿宋_GB2312" w:cs="仿宋_GB2312" w:hint="eastAsia"/>
              </w:rPr>
              <w:t> </w:t>
            </w:r>
            <w:r>
              <w:rPr>
                <w:rStyle w:val="font11"/>
                <w:rFonts w:hAnsi="仿宋_GB2312" w:hint="default"/>
              </w:rPr>
              <w:t>落实国家制定出台的互联网诊疗收费政策和医保支付政策，形成合理的利益分配机制。鼓励公立医院与社会办医按规定合作开展远程医疗服务。支持社会办医之间通过“互联网+”开展跨区域医疗协作，与医联体开展横向资源共享、信息互通。鼓励医疗机构应用互联网等信息技术拓展医疗服务空间，构建一体化医疗服务模式。支持医疗卫生机构、符合条件的第三方机构搭建互联网信息平台，开展远程医疗、健康咨询、健康管理服务。</w:t>
            </w:r>
          </w:p>
        </w:tc>
        <w:tc>
          <w:tcPr>
            <w:tcW w:w="2000" w:type="dxa"/>
            <w:tcBorders>
              <w:top w:val="single" w:sz="4" w:space="0" w:color="auto"/>
              <w:left w:val="single" w:sz="4" w:space="0" w:color="auto"/>
              <w:bottom w:val="single" w:sz="4" w:space="0" w:color="auto"/>
              <w:right w:val="single" w:sz="4" w:space="0" w:color="auto"/>
            </w:tcBorders>
            <w:vAlign w:val="center"/>
          </w:tcPr>
          <w:p w14:paraId="45ACB97A" w14:textId="77777777" w:rsidR="002B60D1" w:rsidRDefault="002B60D1" w:rsidP="00F01AEB">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国家医保局、国家卫生健康委等部门会同各地负责落实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0E5445A1" w14:textId="77777777" w:rsidR="002B60D1" w:rsidRDefault="002B60D1" w:rsidP="00F01AEB">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市医保局、市卫生健康委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51FFEFD4" w14:textId="77777777" w:rsidR="002B60D1" w:rsidRDefault="002B60D1" w:rsidP="00F01AEB">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持续推进</w:t>
            </w:r>
          </w:p>
        </w:tc>
      </w:tr>
      <w:tr w:rsidR="002B60D1" w14:paraId="16ECEAC4" w14:textId="77777777" w:rsidTr="00F01AEB">
        <w:trPr>
          <w:trHeight w:val="720"/>
          <w:jc w:val="center"/>
        </w:trPr>
        <w:tc>
          <w:tcPr>
            <w:tcW w:w="8010" w:type="dxa"/>
            <w:tcBorders>
              <w:top w:val="single" w:sz="4" w:space="0" w:color="auto"/>
              <w:left w:val="single" w:sz="4" w:space="0" w:color="auto"/>
              <w:bottom w:val="single" w:sz="4" w:space="0" w:color="auto"/>
              <w:right w:val="single" w:sz="4" w:space="0" w:color="auto"/>
            </w:tcBorders>
            <w:vAlign w:val="center"/>
          </w:tcPr>
          <w:p w14:paraId="40F4A7F4" w14:textId="77777777" w:rsidR="002B60D1" w:rsidRDefault="002B60D1" w:rsidP="00F01AEB">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lastRenderedPageBreak/>
              <w:t>（十八）支持商业健康保险发展。鼓励商业保险机构与社会办医联合开发多样化、个性化健康保险产品，与基本医疗保险形成互补。鼓励商业保险机构参与基本医疗保险经办服务，做好城乡居民大病保险承办服务工作，提高基金使用效率。支持商业保险机构信息系统与社会办医信息系统对接，方便为商业保险患者就医提供一站式直付结算服务。鼓励商业保险机构投资社会办医。</w:t>
            </w:r>
          </w:p>
        </w:tc>
        <w:tc>
          <w:tcPr>
            <w:tcW w:w="2000" w:type="dxa"/>
            <w:tcBorders>
              <w:top w:val="single" w:sz="4" w:space="0" w:color="auto"/>
              <w:left w:val="single" w:sz="4" w:space="0" w:color="auto"/>
              <w:bottom w:val="single" w:sz="4" w:space="0" w:color="auto"/>
              <w:right w:val="single" w:sz="4" w:space="0" w:color="auto"/>
            </w:tcBorders>
            <w:vAlign w:val="center"/>
          </w:tcPr>
          <w:p w14:paraId="04DC19D4" w14:textId="77777777" w:rsidR="002B60D1" w:rsidRDefault="002B60D1" w:rsidP="00F01AEB">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银保监会、国家医保局、国家卫生健康委等部门负责落实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0AD799DC" w14:textId="77777777" w:rsidR="002B60D1" w:rsidRDefault="002B60D1" w:rsidP="00F01AEB">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北京银保监局、市医保局、市卫生健康委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0C36371C" w14:textId="77777777" w:rsidR="002B60D1" w:rsidRDefault="002B60D1" w:rsidP="00F01AEB">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持续推进</w:t>
            </w:r>
          </w:p>
        </w:tc>
      </w:tr>
      <w:tr w:rsidR="002B60D1" w14:paraId="10631F0F" w14:textId="77777777" w:rsidTr="00F01AEB">
        <w:trPr>
          <w:trHeight w:val="285"/>
          <w:jc w:val="center"/>
        </w:trPr>
        <w:tc>
          <w:tcPr>
            <w:tcW w:w="8010" w:type="dxa"/>
            <w:tcBorders>
              <w:top w:val="single" w:sz="4" w:space="0" w:color="auto"/>
              <w:left w:val="single" w:sz="4" w:space="0" w:color="auto"/>
              <w:bottom w:val="single" w:sz="4" w:space="0" w:color="auto"/>
              <w:right w:val="single" w:sz="4" w:space="0" w:color="auto"/>
            </w:tcBorders>
            <w:vAlign w:val="center"/>
          </w:tcPr>
          <w:p w14:paraId="19F72085" w14:textId="77777777" w:rsidR="002B60D1" w:rsidRDefault="002B60D1" w:rsidP="00F01AEB">
            <w:pPr>
              <w:widowControl/>
              <w:jc w:val="left"/>
              <w:textAlignment w:val="center"/>
              <w:rPr>
                <w:rFonts w:ascii="黑体" w:eastAsia="黑体" w:hAnsi="宋体" w:cs="黑体" w:hint="eastAsia"/>
                <w:sz w:val="24"/>
              </w:rPr>
            </w:pPr>
            <w:r>
              <w:rPr>
                <w:rFonts w:ascii="黑体" w:eastAsia="黑体" w:hAnsi="宋体" w:cs="黑体" w:hint="eastAsia"/>
                <w:kern w:val="0"/>
                <w:sz w:val="24"/>
              </w:rPr>
              <w:t>六、完善综合监管体系</w:t>
            </w:r>
          </w:p>
        </w:tc>
        <w:tc>
          <w:tcPr>
            <w:tcW w:w="2000" w:type="dxa"/>
            <w:tcBorders>
              <w:top w:val="single" w:sz="4" w:space="0" w:color="auto"/>
              <w:left w:val="single" w:sz="4" w:space="0" w:color="auto"/>
              <w:bottom w:val="single" w:sz="4" w:space="0" w:color="auto"/>
              <w:right w:val="single" w:sz="4" w:space="0" w:color="auto"/>
            </w:tcBorders>
            <w:vAlign w:val="center"/>
          </w:tcPr>
          <w:p w14:paraId="38A75473" w14:textId="77777777" w:rsidR="002B60D1" w:rsidRDefault="002B60D1" w:rsidP="00F01AEB">
            <w:pPr>
              <w:rPr>
                <w:rFonts w:ascii="仿宋_GB2312" w:eastAsia="仿宋_GB2312" w:hAnsi="宋体" w:cs="仿宋_GB2312" w:hint="eastAsia"/>
                <w:sz w:val="24"/>
              </w:rPr>
            </w:pPr>
          </w:p>
        </w:tc>
        <w:tc>
          <w:tcPr>
            <w:tcW w:w="2280" w:type="dxa"/>
            <w:tcBorders>
              <w:top w:val="single" w:sz="4" w:space="0" w:color="auto"/>
              <w:left w:val="single" w:sz="4" w:space="0" w:color="auto"/>
              <w:bottom w:val="single" w:sz="4" w:space="0" w:color="auto"/>
              <w:right w:val="single" w:sz="4" w:space="0" w:color="auto"/>
            </w:tcBorders>
            <w:vAlign w:val="center"/>
          </w:tcPr>
          <w:p w14:paraId="065F9A38" w14:textId="77777777" w:rsidR="002B60D1" w:rsidRDefault="002B60D1" w:rsidP="00F01AEB">
            <w:pPr>
              <w:rPr>
                <w:rFonts w:ascii="仿宋_GB2312" w:eastAsia="仿宋_GB2312" w:hAnsi="宋体" w:cs="仿宋_GB2312" w:hint="eastAsia"/>
                <w:sz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CAC130A" w14:textId="77777777" w:rsidR="002B60D1" w:rsidRDefault="002B60D1" w:rsidP="00F01AEB">
            <w:pPr>
              <w:jc w:val="center"/>
              <w:rPr>
                <w:rFonts w:ascii="仿宋_GB2312" w:eastAsia="仿宋_GB2312" w:hAnsi="宋体" w:cs="仿宋_GB2312" w:hint="eastAsia"/>
                <w:sz w:val="24"/>
              </w:rPr>
            </w:pPr>
          </w:p>
        </w:tc>
      </w:tr>
      <w:tr w:rsidR="002B60D1" w14:paraId="55ACF0C0" w14:textId="77777777" w:rsidTr="00F01AEB">
        <w:trPr>
          <w:trHeight w:val="3483"/>
          <w:jc w:val="center"/>
        </w:trPr>
        <w:tc>
          <w:tcPr>
            <w:tcW w:w="8010" w:type="dxa"/>
            <w:tcBorders>
              <w:top w:val="single" w:sz="4" w:space="0" w:color="auto"/>
              <w:left w:val="single" w:sz="4" w:space="0" w:color="auto"/>
              <w:bottom w:val="single" w:sz="4" w:space="0" w:color="auto"/>
              <w:right w:val="single" w:sz="4" w:space="0" w:color="auto"/>
            </w:tcBorders>
            <w:vAlign w:val="center"/>
          </w:tcPr>
          <w:p w14:paraId="45AB2D4F"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十九）落实部门监管责任。切实贯彻“谁审批、谁监管，谁主管、谁监管”和“双随机、一公开”原则，卫生健康行政部门和有关部门要根据医疗卫生行业综合监管部门职责分工，严格落实部门监管责任。各级卫生健康行政部门要做好对社会办医的行业监管工作与服务，加强医疗卫生服务投诉举报平台建设，加大对举报违法行为的奖励力度，提高行业服务和监管水平，促进社会办医健康规范发展。严厉打击医疗机构价格违法行为。强化定点医疗机构协议管理，医保经办机构对违反协议的定点医疗机构实行退出机制。严厉打击欺诈骗取医保基金行为。发挥医疗保险对医疗行为制约监督作用。加大医疗行业违规行为处罚力度，要让严重违规者付出沉重代价，真正形成震慑。对发现问题多、社会反映强烈、监管效果不明显的地方和人员严肃问责。</w:t>
            </w:r>
          </w:p>
        </w:tc>
        <w:tc>
          <w:tcPr>
            <w:tcW w:w="2000" w:type="dxa"/>
            <w:tcBorders>
              <w:top w:val="single" w:sz="4" w:space="0" w:color="auto"/>
              <w:left w:val="single" w:sz="4" w:space="0" w:color="auto"/>
              <w:bottom w:val="single" w:sz="4" w:space="0" w:color="auto"/>
              <w:right w:val="single" w:sz="4" w:space="0" w:color="auto"/>
            </w:tcBorders>
            <w:vAlign w:val="center"/>
          </w:tcPr>
          <w:p w14:paraId="52F605A4"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国家卫生健康委、市场监管总局、国家医保局等部门会同各地负责落实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43434B88"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市卫生健康委、市市场监管局、市医保局</w:t>
            </w:r>
          </w:p>
        </w:tc>
        <w:tc>
          <w:tcPr>
            <w:tcW w:w="1680" w:type="dxa"/>
            <w:tcBorders>
              <w:top w:val="single" w:sz="4" w:space="0" w:color="auto"/>
              <w:left w:val="single" w:sz="4" w:space="0" w:color="auto"/>
              <w:bottom w:val="single" w:sz="4" w:space="0" w:color="auto"/>
              <w:right w:val="single" w:sz="4" w:space="0" w:color="auto"/>
            </w:tcBorders>
            <w:vAlign w:val="center"/>
          </w:tcPr>
          <w:p w14:paraId="07B569EA"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46EE86BA" w14:textId="77777777" w:rsidTr="00F01AEB">
        <w:trPr>
          <w:trHeight w:val="690"/>
          <w:jc w:val="center"/>
        </w:trPr>
        <w:tc>
          <w:tcPr>
            <w:tcW w:w="8010" w:type="dxa"/>
            <w:tcBorders>
              <w:top w:val="single" w:sz="4" w:space="0" w:color="auto"/>
              <w:left w:val="single" w:sz="4" w:space="0" w:color="auto"/>
              <w:bottom w:val="single" w:sz="4" w:space="0" w:color="auto"/>
              <w:right w:val="single" w:sz="4" w:space="0" w:color="auto"/>
            </w:tcBorders>
            <w:vAlign w:val="center"/>
          </w:tcPr>
          <w:p w14:paraId="669CDF2C"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二十）加强医疗质量安全管理。综合运用日常监督管理、医疗机构校验、医师定期考核、不良执业行为记分管理等手段，加强对医疗执业活动的评估和监管。卫生健康行政部门要将社会办医纳入医疗质量监测体系，建设完善医疗服务监管信息平台，建立医疗服务全程实时监管机制，监管结果及时反馈医疗机构，并以适当方式向社会公布。医疗机构要建立医疗信息系统，并按照规定及标准要求，将诊疗信息上传至医疗服务监管信息系统。加强医疗</w:t>
            </w:r>
            <w:r>
              <w:rPr>
                <w:rFonts w:ascii="仿宋_GB2312" w:eastAsia="仿宋_GB2312" w:hAnsi="宋体" w:cs="仿宋_GB2312" w:hint="eastAsia"/>
                <w:kern w:val="0"/>
                <w:sz w:val="24"/>
              </w:rPr>
              <w:lastRenderedPageBreak/>
              <w:t>健康信息安全防护，保障个人隐私，对非法买卖、泄露个人信息行为依法依规严厉惩处。</w:t>
            </w:r>
          </w:p>
        </w:tc>
        <w:tc>
          <w:tcPr>
            <w:tcW w:w="2000" w:type="dxa"/>
            <w:tcBorders>
              <w:top w:val="single" w:sz="4" w:space="0" w:color="auto"/>
              <w:left w:val="single" w:sz="4" w:space="0" w:color="auto"/>
              <w:bottom w:val="single" w:sz="4" w:space="0" w:color="auto"/>
              <w:right w:val="single" w:sz="4" w:space="0" w:color="auto"/>
            </w:tcBorders>
            <w:vAlign w:val="center"/>
          </w:tcPr>
          <w:p w14:paraId="2B2A8AA1"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lastRenderedPageBreak/>
              <w:t>国家卫生健康委等部门会同各地负责落实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1A150EB1"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w:t>
            </w:r>
          </w:p>
        </w:tc>
        <w:tc>
          <w:tcPr>
            <w:tcW w:w="1680" w:type="dxa"/>
            <w:tcBorders>
              <w:top w:val="single" w:sz="4" w:space="0" w:color="auto"/>
              <w:left w:val="single" w:sz="4" w:space="0" w:color="auto"/>
              <w:bottom w:val="single" w:sz="4" w:space="0" w:color="auto"/>
              <w:right w:val="single" w:sz="4" w:space="0" w:color="auto"/>
            </w:tcBorders>
            <w:vAlign w:val="center"/>
          </w:tcPr>
          <w:p w14:paraId="34E16BBA"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42447C4B" w14:textId="77777777" w:rsidTr="00F01AEB">
        <w:trPr>
          <w:trHeight w:val="2565"/>
          <w:jc w:val="center"/>
        </w:trPr>
        <w:tc>
          <w:tcPr>
            <w:tcW w:w="8010" w:type="dxa"/>
            <w:tcBorders>
              <w:top w:val="single" w:sz="4" w:space="0" w:color="auto"/>
              <w:left w:val="single" w:sz="4" w:space="0" w:color="auto"/>
              <w:bottom w:val="single" w:sz="4" w:space="0" w:color="auto"/>
              <w:right w:val="single" w:sz="4" w:space="0" w:color="auto"/>
            </w:tcBorders>
            <w:vAlign w:val="center"/>
          </w:tcPr>
          <w:p w14:paraId="47B36456"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二十一）建立健全信用体系。卫生健康行政部门要按照国务院有关规定公开区域内医疗机构、医务人员处罚等信息。推进基金监管信用体系建设试点。各部门相关处罚信息统一纳入全国信用信息共享平台，形成可免费公开查阅的公共信用记录。其中，在市场监管部门登记设立的医疗机构，各相关部门应当将对其作出的行政处罚信息按规定统一归集至北京企业信用信息网并依法向社会公示。制定实施联合惩戒备忘录，对严重失信主体依法实施行业终身禁入。</w:t>
            </w:r>
          </w:p>
        </w:tc>
        <w:tc>
          <w:tcPr>
            <w:tcW w:w="2000" w:type="dxa"/>
            <w:tcBorders>
              <w:top w:val="single" w:sz="4" w:space="0" w:color="auto"/>
              <w:left w:val="single" w:sz="4" w:space="0" w:color="auto"/>
              <w:bottom w:val="single" w:sz="4" w:space="0" w:color="auto"/>
              <w:right w:val="single" w:sz="4" w:space="0" w:color="auto"/>
            </w:tcBorders>
            <w:vAlign w:val="center"/>
          </w:tcPr>
          <w:p w14:paraId="481D1E1E"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国家卫生健康委、国家发展改革委、市场监管总局、国家医保局等部门按职责负责落实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20194DCD"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 xml:space="preserve">市卫生健康委、市市场监管局、市医保局     </w:t>
            </w:r>
          </w:p>
        </w:tc>
        <w:tc>
          <w:tcPr>
            <w:tcW w:w="1680" w:type="dxa"/>
            <w:tcBorders>
              <w:top w:val="single" w:sz="4" w:space="0" w:color="auto"/>
              <w:left w:val="single" w:sz="4" w:space="0" w:color="auto"/>
              <w:bottom w:val="single" w:sz="4" w:space="0" w:color="auto"/>
              <w:right w:val="single" w:sz="4" w:space="0" w:color="auto"/>
            </w:tcBorders>
            <w:vAlign w:val="center"/>
          </w:tcPr>
          <w:p w14:paraId="05CA7057"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r w:rsidR="002B60D1" w14:paraId="592D6B74" w14:textId="77777777" w:rsidTr="00F01AEB">
        <w:trPr>
          <w:trHeight w:val="1710"/>
          <w:jc w:val="center"/>
        </w:trPr>
        <w:tc>
          <w:tcPr>
            <w:tcW w:w="8010" w:type="dxa"/>
            <w:tcBorders>
              <w:top w:val="single" w:sz="4" w:space="0" w:color="auto"/>
              <w:left w:val="single" w:sz="4" w:space="0" w:color="auto"/>
              <w:bottom w:val="single" w:sz="4" w:space="0" w:color="auto"/>
              <w:right w:val="single" w:sz="4" w:space="0" w:color="auto"/>
            </w:tcBorders>
            <w:vAlign w:val="center"/>
          </w:tcPr>
          <w:p w14:paraId="5861160C"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二十二）发挥行业组织自律作用。北京医学会、北京市非公医疗机构协会等行业组织要协助主管部门做好相关工作，完善行业标准，开展医疗机构医疗质量、服务能力等评价，评价结果向社会公开，维护行业信誉。北京医学会等社会团体要同等吸纳社会办医及其医务人员，做到一视同仁。开展社会办医示范行动。</w:t>
            </w:r>
          </w:p>
        </w:tc>
        <w:tc>
          <w:tcPr>
            <w:tcW w:w="2000" w:type="dxa"/>
            <w:tcBorders>
              <w:top w:val="single" w:sz="4" w:space="0" w:color="auto"/>
              <w:left w:val="single" w:sz="4" w:space="0" w:color="auto"/>
              <w:bottom w:val="single" w:sz="4" w:space="0" w:color="auto"/>
              <w:right w:val="single" w:sz="4" w:space="0" w:color="auto"/>
            </w:tcBorders>
            <w:vAlign w:val="center"/>
          </w:tcPr>
          <w:p w14:paraId="1F97AB2B"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国家卫生健康委、民政部等部门按职责负责落实</w:t>
            </w:r>
          </w:p>
        </w:tc>
        <w:tc>
          <w:tcPr>
            <w:tcW w:w="2280" w:type="dxa"/>
            <w:tcBorders>
              <w:top w:val="single" w:sz="4" w:space="0" w:color="auto"/>
              <w:left w:val="single" w:sz="4" w:space="0" w:color="auto"/>
              <w:bottom w:val="single" w:sz="4" w:space="0" w:color="auto"/>
              <w:right w:val="single" w:sz="4" w:space="0" w:color="auto"/>
            </w:tcBorders>
            <w:vAlign w:val="center"/>
          </w:tcPr>
          <w:p w14:paraId="188E5E2D" w14:textId="77777777" w:rsidR="002B60D1" w:rsidRDefault="002B60D1" w:rsidP="00F01AEB">
            <w:pPr>
              <w:widowControl/>
              <w:jc w:val="left"/>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市卫生健康委、市民政局</w:t>
            </w:r>
          </w:p>
        </w:tc>
        <w:tc>
          <w:tcPr>
            <w:tcW w:w="1680" w:type="dxa"/>
            <w:tcBorders>
              <w:top w:val="single" w:sz="4" w:space="0" w:color="auto"/>
              <w:left w:val="single" w:sz="4" w:space="0" w:color="auto"/>
              <w:bottom w:val="single" w:sz="4" w:space="0" w:color="auto"/>
              <w:right w:val="single" w:sz="4" w:space="0" w:color="auto"/>
            </w:tcBorders>
            <w:vAlign w:val="center"/>
          </w:tcPr>
          <w:p w14:paraId="28BF97C0" w14:textId="77777777" w:rsidR="002B60D1" w:rsidRDefault="002B60D1" w:rsidP="00F01AEB">
            <w:pPr>
              <w:widowControl/>
              <w:jc w:val="center"/>
              <w:textAlignment w:val="center"/>
              <w:rPr>
                <w:rFonts w:ascii="仿宋_GB2312" w:eastAsia="仿宋_GB2312" w:hAnsi="宋体" w:cs="仿宋_GB2312" w:hint="eastAsia"/>
                <w:sz w:val="24"/>
              </w:rPr>
            </w:pPr>
            <w:r>
              <w:rPr>
                <w:rFonts w:ascii="仿宋_GB2312" w:eastAsia="仿宋_GB2312" w:hAnsi="宋体" w:cs="仿宋_GB2312" w:hint="eastAsia"/>
                <w:kern w:val="0"/>
                <w:sz w:val="24"/>
              </w:rPr>
              <w:t>持续推进</w:t>
            </w:r>
          </w:p>
        </w:tc>
      </w:tr>
    </w:tbl>
    <w:p w14:paraId="3E801EA7" w14:textId="77777777" w:rsidR="002B60D1" w:rsidRDefault="002B60D1" w:rsidP="002B60D1">
      <w:pPr>
        <w:jc w:val="center"/>
        <w:rPr>
          <w:rFonts w:hint="eastAsia"/>
          <w:b/>
          <w:sz w:val="32"/>
          <w:szCs w:val="32"/>
        </w:rPr>
      </w:pPr>
    </w:p>
    <w:p w14:paraId="358AA621" w14:textId="77777777" w:rsidR="00811718" w:rsidRDefault="00811718"/>
    <w:sectPr w:rsidR="00811718" w:rsidSect="002B60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DBF1" w14:textId="77777777" w:rsidR="00375BFE" w:rsidRDefault="00375BFE" w:rsidP="002B60D1">
      <w:r>
        <w:separator/>
      </w:r>
    </w:p>
  </w:endnote>
  <w:endnote w:type="continuationSeparator" w:id="0">
    <w:p w14:paraId="15DC58A8" w14:textId="77777777" w:rsidR="00375BFE" w:rsidRDefault="00375BFE" w:rsidP="002B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3F9D" w14:textId="77777777" w:rsidR="00375BFE" w:rsidRDefault="00375BFE" w:rsidP="002B60D1">
      <w:r>
        <w:separator/>
      </w:r>
    </w:p>
  </w:footnote>
  <w:footnote w:type="continuationSeparator" w:id="0">
    <w:p w14:paraId="7C9F9713" w14:textId="77777777" w:rsidR="00375BFE" w:rsidRDefault="00375BFE" w:rsidP="002B6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51"/>
    <w:rsid w:val="00135551"/>
    <w:rsid w:val="002B60D1"/>
    <w:rsid w:val="00375BFE"/>
    <w:rsid w:val="0081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BA61C-C2F9-4D4B-85CD-485AB41F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0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0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B60D1"/>
    <w:rPr>
      <w:sz w:val="18"/>
      <w:szCs w:val="18"/>
    </w:rPr>
  </w:style>
  <w:style w:type="paragraph" w:styleId="a5">
    <w:name w:val="footer"/>
    <w:basedOn w:val="a"/>
    <w:link w:val="a6"/>
    <w:uiPriority w:val="99"/>
    <w:unhideWhenUsed/>
    <w:rsid w:val="002B60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B60D1"/>
    <w:rPr>
      <w:sz w:val="18"/>
      <w:szCs w:val="18"/>
    </w:rPr>
  </w:style>
  <w:style w:type="character" w:customStyle="1" w:styleId="font11">
    <w:name w:val="font11"/>
    <w:basedOn w:val="a0"/>
    <w:rsid w:val="002B60D1"/>
    <w:rPr>
      <w:rFonts w:ascii="仿宋_GB2312" w:eastAsia="仿宋_GB2312" w:hAnsi="宋体" w:cs="仿宋_GB2312" w:hint="eastAsia"/>
      <w:color w:val="000000"/>
      <w:sz w:val="24"/>
      <w:szCs w:val="24"/>
      <w:u w:val="none"/>
    </w:rPr>
  </w:style>
  <w:style w:type="character" w:customStyle="1" w:styleId="font01">
    <w:name w:val="font01"/>
    <w:basedOn w:val="a0"/>
    <w:rsid w:val="002B60D1"/>
    <w:rPr>
      <w:rFonts w:ascii="Times New Roman" w:hAnsi="Times New Roman" w:cs="Times New Roman" w:hint="default"/>
      <w:color w:val="000000"/>
      <w:sz w:val="24"/>
      <w:szCs w:val="24"/>
      <w:u w:val="none"/>
    </w:rPr>
  </w:style>
  <w:style w:type="paragraph" w:customStyle="1" w:styleId="Char">
    <w:name w:val=" Char"/>
    <w:basedOn w:val="a"/>
    <w:rsid w:val="002B60D1"/>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2020-09-10T01:32:00Z</dcterms:created>
  <dcterms:modified xsi:type="dcterms:W3CDTF">2020-09-10T01:33:00Z</dcterms:modified>
</cp:coreProperties>
</file>