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default"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附件3</w:t>
      </w:r>
    </w:p>
    <w:p>
      <w:pPr>
        <w:spacing w:line="360" w:lineRule="auto"/>
        <w:jc w:val="center"/>
        <w:rPr>
          <w:rFonts w:hint="eastAsia" w:ascii="方正黑体_GBK" w:hAnsi="方正黑体_GBK" w:eastAsia="方正黑体_GBK" w:cs="方正黑体_GBK"/>
          <w:b/>
          <w:bCs/>
          <w:sz w:val="36"/>
          <w:szCs w:val="32"/>
        </w:rPr>
      </w:pPr>
      <w:r>
        <w:rPr>
          <w:rFonts w:hint="eastAsia" w:ascii="方正黑体_GBK" w:hAnsi="方正黑体_GBK" w:eastAsia="方正黑体_GBK" w:cs="方正黑体_GBK"/>
          <w:b/>
          <w:bCs/>
          <w:sz w:val="36"/>
          <w:szCs w:val="32"/>
        </w:rPr>
        <w:t>申请人须知</w:t>
      </w:r>
    </w:p>
    <w:p>
      <w:pPr>
        <w:spacing w:line="360" w:lineRule="auto"/>
        <w:rPr>
          <w:rFonts w:ascii="仿宋" w:hAnsi="仿宋" w:eastAsia="仿宋" w:cs="宋体"/>
          <w:bCs/>
          <w:sz w:val="28"/>
          <w:szCs w:val="28"/>
        </w:rPr>
      </w:pPr>
      <w:r>
        <w:rPr>
          <w:rFonts w:hint="eastAsia" w:ascii="仿宋" w:hAnsi="仿宋" w:eastAsia="仿宋" w:cs="宋体"/>
          <w:bCs/>
          <w:sz w:val="28"/>
          <w:szCs w:val="28"/>
        </w:rPr>
        <w:t>1、遴选响应文件签署和盖章要求：遴选响应文件需打印或用不</w:t>
      </w:r>
      <w:r>
        <w:rPr>
          <w:rFonts w:hint="eastAsia" w:ascii="仿宋" w:hAnsi="仿宋" w:eastAsia="仿宋" w:cs="宋体"/>
          <w:bCs/>
          <w:sz w:val="28"/>
          <w:szCs w:val="28"/>
          <w:lang w:eastAsia="zh-CN"/>
        </w:rPr>
        <w:t>褪</w:t>
      </w:r>
      <w:r>
        <w:rPr>
          <w:rFonts w:hint="eastAsia" w:ascii="仿宋" w:hAnsi="仿宋" w:eastAsia="仿宋" w:cs="宋体"/>
          <w:bCs/>
          <w:sz w:val="28"/>
          <w:szCs w:val="28"/>
        </w:rPr>
        <w:t>色墨水书写，由申请人的法定代表人或其授权代表在遴选文件规定的地方签字，并进行逐页盖章或加盖骑缝章。</w:t>
      </w:r>
    </w:p>
    <w:p>
      <w:pPr>
        <w:spacing w:line="360" w:lineRule="auto"/>
        <w:rPr>
          <w:rFonts w:ascii="仿宋" w:hAnsi="仿宋" w:eastAsia="仿宋" w:cs="宋体"/>
          <w:b/>
          <w:bCs/>
          <w:sz w:val="28"/>
          <w:szCs w:val="28"/>
        </w:rPr>
      </w:pPr>
      <w:r>
        <w:rPr>
          <w:rFonts w:hint="eastAsia" w:ascii="仿宋" w:hAnsi="仿宋" w:eastAsia="仿宋" w:cs="宋体"/>
          <w:bCs/>
          <w:sz w:val="28"/>
          <w:szCs w:val="28"/>
        </w:rPr>
        <w:t>2、遴选小组对申请人的遴选响应文件进行商务审查，以确定其是否满足遴选文件的实质性要求，并形成商务审查结果。申请人有任何一项不符合《商务审查表》要求的，</w:t>
      </w:r>
      <w:r>
        <w:rPr>
          <w:rFonts w:hint="eastAsia" w:ascii="仿宋" w:hAnsi="仿宋" w:eastAsia="仿宋" w:cs="宋体"/>
          <w:b/>
          <w:bCs/>
          <w:sz w:val="28"/>
          <w:szCs w:val="28"/>
        </w:rPr>
        <w:t>遴选响应无效。</w:t>
      </w:r>
    </w:p>
    <w:p>
      <w:pPr>
        <w:spacing w:line="360" w:lineRule="auto"/>
        <w:jc w:val="center"/>
        <w:rPr>
          <w:rFonts w:ascii="仿宋" w:hAnsi="仿宋" w:eastAsia="仿宋" w:cs="宋体"/>
          <w:bCs/>
          <w:sz w:val="28"/>
          <w:szCs w:val="28"/>
        </w:rPr>
      </w:pPr>
      <w:r>
        <w:rPr>
          <w:rFonts w:hint="eastAsia" w:ascii="仿宋" w:hAnsi="仿宋" w:eastAsia="仿宋" w:cs="宋体"/>
          <w:bCs/>
          <w:sz w:val="28"/>
          <w:szCs w:val="28"/>
        </w:rPr>
        <w:t>商务审查表</w:t>
      </w:r>
    </w:p>
    <w:tbl>
      <w:tblPr>
        <w:tblStyle w:val="7"/>
        <w:tblW w:w="85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02"/>
        <w:gridCol w:w="4042"/>
        <w:gridCol w:w="33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1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序号</w:t>
            </w:r>
          </w:p>
        </w:tc>
        <w:tc>
          <w:tcPr>
            <w:tcW w:w="7426" w:type="dxa"/>
            <w:gridSpan w:val="2"/>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Times New Roman"/>
                <w:kern w:val="0"/>
                <w:sz w:val="20"/>
                <w:szCs w:val="20"/>
              </w:rPr>
            </w:pPr>
            <w:r>
              <w:rPr>
                <w:rFonts w:hint="eastAsia" w:ascii="仿宋" w:hAnsi="仿宋" w:eastAsia="仿宋" w:cs="宋体"/>
                <w:kern w:val="0"/>
                <w:sz w:val="28"/>
                <w:szCs w:val="28"/>
              </w:rPr>
              <w:t>审查内容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1</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遴选报价是否超过遴选文件规定预算金额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2</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遴选文件的签署、盖章是否合格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3</w:t>
            </w:r>
          </w:p>
        </w:tc>
        <w:tc>
          <w:tcPr>
            <w:tcW w:w="7426" w:type="dxa"/>
            <w:gridSpan w:val="2"/>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是否提供满足遴选文件中要求的申请人资格要求的承诺函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5144" w:type="dxa"/>
            <w:gridSpan w:val="2"/>
            <w:tcBorders>
              <w:top w:val="single" w:color="auto" w:sz="4" w:space="0"/>
              <w:left w:val="single" w:color="auto" w:sz="4" w:space="0"/>
              <w:bottom w:val="single" w:color="auto" w:sz="4" w:space="0"/>
              <w:right w:val="nil"/>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结论</w:t>
            </w:r>
          </w:p>
        </w:tc>
        <w:tc>
          <w:tcPr>
            <w:tcW w:w="3384"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合格/不合格</w:t>
            </w:r>
          </w:p>
        </w:tc>
      </w:tr>
    </w:tbl>
    <w:p>
      <w:pPr>
        <w:spacing w:line="360" w:lineRule="auto"/>
        <w:rPr>
          <w:rFonts w:ascii="仿宋" w:hAnsi="仿宋" w:eastAsia="仿宋" w:cs="宋体"/>
          <w:bCs/>
          <w:sz w:val="28"/>
          <w:szCs w:val="28"/>
        </w:rPr>
      </w:pPr>
      <w:r>
        <w:rPr>
          <w:rFonts w:hint="eastAsia" w:ascii="仿宋" w:hAnsi="仿宋" w:eastAsia="仿宋" w:cs="宋体"/>
          <w:bCs/>
          <w:sz w:val="28"/>
          <w:szCs w:val="28"/>
        </w:rPr>
        <w:t>3、遴选响应文件有关事项的澄清或者说明：评审过程中，遴选小组会将以书面形式要求申请人对其遴选响应文件中含义不明确、同类问题表述不一致或者有明显文字和计算错误的内容，作出必要的澄清、说明或者补正。申请人的澄清、说明或者补正应当采用书面形式，并加盖公章，或者由法定代表人或其授权的代表签字。申请人的澄清、说明或者补正不得超出遴选文件的范围或者改变遴选文件的实质性内容。澄清文件将作为遴选文件内容的一部分。</w:t>
      </w:r>
    </w:p>
    <w:p>
      <w:pPr>
        <w:spacing w:line="360" w:lineRule="auto"/>
        <w:rPr>
          <w:rFonts w:hint="eastAsia" w:ascii="仿宋" w:hAnsi="仿宋" w:eastAsia="仿宋" w:cs="宋体"/>
          <w:bCs/>
          <w:sz w:val="28"/>
          <w:szCs w:val="28"/>
        </w:rPr>
      </w:pPr>
      <w:r>
        <w:rPr>
          <w:rFonts w:hint="eastAsia" w:ascii="仿宋" w:hAnsi="仿宋" w:eastAsia="仿宋" w:cs="宋体"/>
          <w:bCs/>
          <w:sz w:val="28"/>
          <w:szCs w:val="28"/>
        </w:rPr>
        <w:t>4、本项目采用的评标方法为综合评分法。采用综合评分法时，评审结果按评审后得分由高到低顺序排列。得分相同的，按遴选响应报价由低到高顺序排列。得分且遴选响应报价相同的并列。遴选响应文件满足遴选文件全部实质性要求，且按照评审因素的量化指标评审得分最高的申请人为</w:t>
      </w:r>
      <w:r>
        <w:rPr>
          <w:rFonts w:hint="eastAsia" w:ascii="仿宋" w:hAnsi="仿宋" w:eastAsia="仿宋" w:cs="宋体"/>
          <w:bCs/>
          <w:color w:val="000000" w:themeColor="text1"/>
          <w:sz w:val="28"/>
          <w:szCs w:val="28"/>
          <w14:textFill>
            <w14:solidFill>
              <w14:schemeClr w14:val="tx1"/>
            </w14:solidFill>
          </w14:textFill>
        </w:rPr>
        <w:t>排名第一的成交候选人。</w:t>
      </w:r>
      <w:r>
        <w:rPr>
          <w:rFonts w:hint="eastAsia" w:ascii="仿宋" w:hAnsi="仿宋" w:eastAsia="仿宋" w:cs="宋体"/>
          <w:b/>
          <w:bCs/>
          <w:sz w:val="28"/>
          <w:szCs w:val="28"/>
        </w:rPr>
        <w:t>由各业务处室最终决定成交申请人。</w:t>
      </w:r>
      <w:r>
        <w:rPr>
          <w:rFonts w:hint="eastAsia" w:ascii="仿宋" w:hAnsi="仿宋" w:eastAsia="仿宋" w:cs="宋体"/>
          <w:bCs/>
          <w:sz w:val="28"/>
          <w:szCs w:val="28"/>
        </w:rPr>
        <w:t>评分分值计算保留小数点后两位，第三位四舍五入。</w:t>
      </w:r>
    </w:p>
    <w:p>
      <w:pPr>
        <w:spacing w:line="360" w:lineRule="auto"/>
        <w:rPr>
          <w:rFonts w:hint="eastAsia" w:ascii="仿宋" w:hAnsi="仿宋" w:eastAsia="仿宋" w:cs="宋体"/>
          <w:bCs/>
          <w:sz w:val="28"/>
          <w:szCs w:val="28"/>
        </w:rPr>
      </w:pPr>
      <w:r>
        <w:rPr>
          <w:rFonts w:hint="eastAsia" w:ascii="仿宋" w:hAnsi="仿宋" w:eastAsia="仿宋" w:cs="宋体"/>
          <w:b/>
          <w:bCs/>
          <w:color w:val="FF0000"/>
          <w:sz w:val="28"/>
          <w:szCs w:val="28"/>
        </w:rPr>
        <w:t>5、本项目如仅有1家供应商进入到综合打分，则该供应商的总分应不低于60分，否则按废标处理。</w:t>
      </w:r>
    </w:p>
    <w:p>
      <w:pPr>
        <w:spacing w:line="360" w:lineRule="auto"/>
        <w:rPr>
          <w:rFonts w:ascii="仿宋" w:hAnsi="仿宋" w:eastAsia="仿宋" w:cs="宋体"/>
          <w:bCs/>
          <w:sz w:val="28"/>
          <w:szCs w:val="28"/>
        </w:rPr>
      </w:pPr>
      <w:r>
        <w:rPr>
          <w:rFonts w:hint="eastAsia" w:ascii="仿宋" w:hAnsi="仿宋" w:eastAsia="仿宋" w:cs="宋体"/>
          <w:bCs/>
          <w:sz w:val="28"/>
          <w:szCs w:val="28"/>
          <w:lang w:val="en-US" w:eastAsia="zh-CN"/>
        </w:rPr>
        <w:t>6</w:t>
      </w:r>
      <w:r>
        <w:rPr>
          <w:rFonts w:hint="eastAsia" w:ascii="仿宋" w:hAnsi="仿宋" w:eastAsia="仿宋" w:cs="宋体"/>
          <w:bCs/>
          <w:sz w:val="28"/>
          <w:szCs w:val="28"/>
        </w:rPr>
        <w:t>、成交供应商拒绝与采购人签订合同的，采购人可以按照评审报告推荐的成交候选人名单排序，确定下一候选人为成交供应商，也可以重新开展政府采购活动。</w:t>
      </w:r>
    </w:p>
    <w:p>
      <w:pPr>
        <w:spacing w:line="360" w:lineRule="auto"/>
        <w:rPr>
          <w:rFonts w:ascii="仿宋" w:hAnsi="仿宋" w:eastAsia="仿宋" w:cs="宋体"/>
          <w:b/>
          <w:bCs/>
          <w:color w:val="FF0000"/>
          <w:sz w:val="28"/>
          <w:szCs w:val="28"/>
        </w:rPr>
      </w:pPr>
    </w:p>
    <w:p>
      <w:pPr>
        <w:widowControl/>
        <w:jc w:val="left"/>
        <w:rPr>
          <w:rFonts w:ascii="仿宋" w:hAnsi="仿宋" w:eastAsia="仿宋" w:cs="宋体"/>
          <w:bCs/>
          <w:sz w:val="28"/>
          <w:szCs w:val="28"/>
        </w:rPr>
      </w:pPr>
      <w:r>
        <w:rPr>
          <w:rFonts w:ascii="仿宋" w:hAnsi="仿宋" w:eastAsia="仿宋" w:cs="宋体"/>
          <w:bCs/>
          <w:sz w:val="28"/>
          <w:szCs w:val="28"/>
        </w:rPr>
        <w:br w:type="page"/>
      </w:r>
    </w:p>
    <w:p>
      <w:pPr>
        <w:spacing w:line="360" w:lineRule="auto"/>
        <w:jc w:val="center"/>
        <w:rPr>
          <w:rFonts w:hint="eastAsia" w:ascii="方正黑体_GBK" w:hAnsi="方正黑体_GBK" w:eastAsia="方正黑体_GBK" w:cs="方正黑体_GBK"/>
          <w:b/>
          <w:bCs/>
          <w:sz w:val="36"/>
          <w:szCs w:val="32"/>
          <w:lang w:eastAsia="zh-CN"/>
        </w:rPr>
      </w:pPr>
      <w:r>
        <w:rPr>
          <w:rFonts w:hint="eastAsia" w:ascii="方正黑体_GBK" w:hAnsi="方正黑体_GBK" w:eastAsia="方正黑体_GBK" w:cs="方正黑体_GBK"/>
          <w:b/>
          <w:bCs/>
          <w:sz w:val="36"/>
          <w:szCs w:val="32"/>
        </w:rPr>
        <w:t>评分标准</w:t>
      </w:r>
      <w:r>
        <w:rPr>
          <w:rFonts w:hint="eastAsia" w:ascii="方正黑体_GBK" w:hAnsi="方正黑体_GBK" w:eastAsia="方正黑体_GBK" w:cs="方正黑体_GBK"/>
          <w:b/>
          <w:bCs/>
          <w:sz w:val="36"/>
          <w:szCs w:val="32"/>
          <w:lang w:eastAsia="zh-CN"/>
        </w:rPr>
        <w:t>和评分方法</w:t>
      </w:r>
    </w:p>
    <w:p>
      <w:pPr>
        <w:spacing w:line="302" w:lineRule="auto"/>
        <w:rPr>
          <w:rFonts w:ascii="宋体" w:hAnsi="宋体"/>
          <w:sz w:val="21"/>
          <w:szCs w:val="21"/>
        </w:rPr>
      </w:pPr>
      <w:r>
        <w:rPr>
          <w:rFonts w:hint="eastAsia" w:ascii="宋体" w:hAnsi="宋体"/>
          <w:sz w:val="21"/>
          <w:szCs w:val="21"/>
        </w:rPr>
        <w:t>1、评分方法：采用综合评分法，满分为</w:t>
      </w:r>
      <w:r>
        <w:rPr>
          <w:rFonts w:ascii="宋体" w:hAnsi="宋体"/>
          <w:sz w:val="21"/>
          <w:szCs w:val="21"/>
        </w:rPr>
        <w:t>100</w:t>
      </w:r>
      <w:r>
        <w:rPr>
          <w:rFonts w:hint="eastAsia" w:ascii="宋体" w:hAnsi="宋体"/>
          <w:sz w:val="21"/>
          <w:szCs w:val="21"/>
        </w:rPr>
        <w:t>分。</w:t>
      </w:r>
    </w:p>
    <w:p>
      <w:pPr>
        <w:spacing w:line="302" w:lineRule="auto"/>
        <w:rPr>
          <w:rFonts w:ascii="宋体" w:hAnsi="宋体"/>
          <w:sz w:val="21"/>
          <w:szCs w:val="21"/>
        </w:rPr>
      </w:pPr>
      <w:r>
        <w:rPr>
          <w:rFonts w:hint="eastAsia" w:ascii="宋体" w:hAnsi="宋体"/>
          <w:sz w:val="21"/>
          <w:szCs w:val="21"/>
        </w:rPr>
        <w:t>2、价格分采用低价优先法计算，即满足遴选文件要求且报价最低的报价为评标基准价，其价格分为满分，其他</w:t>
      </w:r>
      <w:r>
        <w:rPr>
          <w:rFonts w:hint="eastAsia" w:ascii="宋体" w:hAnsi="宋体"/>
          <w:sz w:val="21"/>
          <w:szCs w:val="21"/>
          <w:lang w:eastAsia="zh-CN"/>
        </w:rPr>
        <w:t>供应商</w:t>
      </w:r>
      <w:r>
        <w:rPr>
          <w:rFonts w:hint="eastAsia" w:ascii="宋体" w:hAnsi="宋体"/>
          <w:sz w:val="21"/>
          <w:szCs w:val="21"/>
        </w:rPr>
        <w:t>的价格分统一按下列公式计算：</w:t>
      </w:r>
    </w:p>
    <w:p>
      <w:pPr>
        <w:spacing w:line="302" w:lineRule="auto"/>
        <w:rPr>
          <w:rFonts w:ascii="宋体" w:hAnsi="宋体"/>
          <w:sz w:val="21"/>
          <w:szCs w:val="21"/>
        </w:rPr>
      </w:pPr>
      <w:r>
        <w:rPr>
          <w:rFonts w:hint="eastAsia" w:ascii="宋体" w:hAnsi="宋体"/>
          <w:sz w:val="21"/>
          <w:szCs w:val="21"/>
        </w:rPr>
        <w:t>报价得分=（评标基准价/报价）×价格权值×100。</w:t>
      </w:r>
    </w:p>
    <w:p>
      <w:pPr>
        <w:spacing w:line="302" w:lineRule="auto"/>
        <w:rPr>
          <w:rFonts w:ascii="宋体" w:hAnsi="宋体"/>
          <w:sz w:val="21"/>
          <w:szCs w:val="21"/>
        </w:rPr>
      </w:pPr>
      <w:r>
        <w:rPr>
          <w:rFonts w:hint="eastAsia" w:ascii="宋体" w:hAnsi="宋体"/>
          <w:sz w:val="21"/>
          <w:szCs w:val="21"/>
        </w:rPr>
        <w:t>3、最低报价不作为成交保证。</w:t>
      </w:r>
    </w:p>
    <w:p>
      <w:pPr>
        <w:widowControl/>
        <w:adjustRightInd/>
        <w:spacing w:line="400" w:lineRule="exact"/>
        <w:jc w:val="both"/>
        <w:textAlignment w:val="auto"/>
        <w:rPr>
          <w:rFonts w:ascii="宋体" w:hAnsi="宋体"/>
          <w:sz w:val="21"/>
          <w:szCs w:val="21"/>
        </w:rPr>
      </w:pPr>
      <w:r>
        <w:rPr>
          <w:rFonts w:hint="eastAsia" w:ascii="宋体" w:hAnsi="宋体"/>
          <w:sz w:val="21"/>
          <w:szCs w:val="21"/>
        </w:rPr>
        <w:t>4、本项目对属于小型和微型企业的</w:t>
      </w:r>
      <w:r>
        <w:rPr>
          <w:rFonts w:hint="eastAsia" w:ascii="宋体" w:hAnsi="宋体"/>
          <w:sz w:val="21"/>
          <w:szCs w:val="21"/>
          <w:lang w:eastAsia="zh-CN"/>
        </w:rPr>
        <w:t>供应商</w:t>
      </w:r>
      <w:r>
        <w:rPr>
          <w:rFonts w:hint="eastAsia" w:ascii="宋体" w:hAnsi="宋体"/>
          <w:sz w:val="21"/>
          <w:szCs w:val="21"/>
        </w:rPr>
        <w:t>的报价给予6%的扣除，用扣除后的价格参与评审。</w:t>
      </w:r>
    </w:p>
    <w:p>
      <w:pPr>
        <w:widowControl/>
        <w:adjustRightInd/>
        <w:spacing w:line="400" w:lineRule="exact"/>
        <w:jc w:val="both"/>
        <w:textAlignment w:val="auto"/>
        <w:rPr>
          <w:rFonts w:hint="eastAsia" w:ascii="方正黑体_GBK" w:hAnsi="方正黑体_GBK" w:eastAsia="方正黑体_GBK" w:cs="方正黑体_GBK"/>
          <w:b/>
          <w:bCs/>
          <w:sz w:val="36"/>
          <w:szCs w:val="32"/>
        </w:rPr>
      </w:pPr>
      <w:r>
        <w:rPr>
          <w:rFonts w:hint="eastAsia" w:ascii="宋体" w:hAnsi="宋体"/>
          <w:sz w:val="21"/>
          <w:szCs w:val="21"/>
        </w:rPr>
        <w:t>5、具体评分标准：</w:t>
      </w:r>
    </w:p>
    <w:tbl>
      <w:tblPr>
        <w:tblStyle w:val="7"/>
        <w:tblpPr w:leftFromText="180" w:rightFromText="180" w:vertAnchor="text" w:horzAnchor="page" w:tblpX="1685" w:tblpY="329"/>
        <w:tblOverlap w:val="never"/>
        <w:tblW w:w="9214" w:type="dxa"/>
        <w:tblInd w:w="0" w:type="dxa"/>
        <w:tblLayout w:type="fixed"/>
        <w:tblCellMar>
          <w:top w:w="0" w:type="dxa"/>
          <w:left w:w="108" w:type="dxa"/>
          <w:bottom w:w="0" w:type="dxa"/>
          <w:right w:w="108" w:type="dxa"/>
        </w:tblCellMar>
      </w:tblPr>
      <w:tblGrid>
        <w:gridCol w:w="490"/>
        <w:gridCol w:w="1033"/>
        <w:gridCol w:w="1137"/>
        <w:gridCol w:w="5796"/>
        <w:gridCol w:w="758"/>
      </w:tblGrid>
      <w:tr>
        <w:tblPrEx>
          <w:tblCellMar>
            <w:top w:w="0" w:type="dxa"/>
            <w:left w:w="108" w:type="dxa"/>
            <w:bottom w:w="0" w:type="dxa"/>
            <w:right w:w="108" w:type="dxa"/>
          </w:tblCellMar>
        </w:tblPrEx>
        <w:trPr>
          <w:trHeight w:val="330" w:hRule="atLeast"/>
        </w:trPr>
        <w:tc>
          <w:tcPr>
            <w:tcW w:w="49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宋体" w:hAnsi="宋体" w:cs="宋体"/>
                <w:b/>
                <w:bCs/>
                <w:color w:val="000000"/>
                <w:sz w:val="18"/>
                <w:szCs w:val="18"/>
              </w:rPr>
            </w:pPr>
            <w:r>
              <w:rPr>
                <w:rFonts w:hint="eastAsia" w:ascii="宋体" w:hAnsi="宋体" w:cs="宋体"/>
                <w:b/>
                <w:bCs/>
                <w:color w:val="000000"/>
                <w:sz w:val="18"/>
                <w:szCs w:val="18"/>
              </w:rPr>
              <w:t>序号</w:t>
            </w:r>
          </w:p>
        </w:tc>
        <w:tc>
          <w:tcPr>
            <w:tcW w:w="2170" w:type="dxa"/>
            <w:gridSpan w:val="2"/>
            <w:tcBorders>
              <w:top w:val="single" w:color="auto" w:sz="8" w:space="0"/>
              <w:left w:val="nil"/>
              <w:bottom w:val="single" w:color="auto" w:sz="4" w:space="0"/>
              <w:right w:val="single" w:color="auto" w:sz="8" w:space="0"/>
            </w:tcBorders>
            <w:noWrap w:val="0"/>
            <w:vAlign w:val="center"/>
          </w:tcPr>
          <w:p>
            <w:pPr>
              <w:widowControl/>
              <w:jc w:val="center"/>
              <w:rPr>
                <w:rFonts w:ascii="宋体" w:hAnsi="宋体" w:cs="宋体"/>
                <w:b/>
                <w:bCs/>
                <w:color w:val="000000"/>
                <w:sz w:val="18"/>
                <w:szCs w:val="18"/>
              </w:rPr>
            </w:pPr>
            <w:r>
              <w:rPr>
                <w:rFonts w:hint="eastAsia" w:ascii="宋体" w:hAnsi="宋体" w:cs="宋体"/>
                <w:b/>
                <w:bCs/>
                <w:color w:val="000000"/>
                <w:sz w:val="18"/>
                <w:szCs w:val="18"/>
              </w:rPr>
              <w:t>评审因素</w:t>
            </w:r>
          </w:p>
        </w:tc>
        <w:tc>
          <w:tcPr>
            <w:tcW w:w="5796" w:type="dxa"/>
            <w:tcBorders>
              <w:top w:val="single" w:color="auto" w:sz="8" w:space="0"/>
              <w:left w:val="nil"/>
              <w:bottom w:val="single" w:color="auto" w:sz="4" w:space="0"/>
              <w:right w:val="single" w:color="auto" w:sz="8" w:space="0"/>
            </w:tcBorders>
            <w:noWrap w:val="0"/>
            <w:vAlign w:val="center"/>
          </w:tcPr>
          <w:p>
            <w:pPr>
              <w:widowControl/>
              <w:jc w:val="center"/>
              <w:rPr>
                <w:rFonts w:ascii="宋体" w:hAnsi="宋体" w:cs="宋体"/>
                <w:b/>
                <w:bCs/>
                <w:color w:val="000000"/>
                <w:sz w:val="18"/>
                <w:szCs w:val="18"/>
              </w:rPr>
            </w:pPr>
            <w:r>
              <w:rPr>
                <w:rFonts w:hint="eastAsia" w:ascii="宋体" w:hAnsi="宋体" w:cs="宋体"/>
                <w:b/>
                <w:bCs/>
                <w:color w:val="000000"/>
                <w:sz w:val="18"/>
                <w:szCs w:val="18"/>
              </w:rPr>
              <w:t>评分标准说明</w:t>
            </w:r>
          </w:p>
        </w:tc>
        <w:tc>
          <w:tcPr>
            <w:tcW w:w="758" w:type="dxa"/>
            <w:tcBorders>
              <w:top w:val="single" w:color="auto" w:sz="8" w:space="0"/>
              <w:left w:val="nil"/>
              <w:bottom w:val="single" w:color="auto" w:sz="8" w:space="0"/>
              <w:right w:val="single" w:color="auto" w:sz="8" w:space="0"/>
            </w:tcBorders>
            <w:noWrap w:val="0"/>
            <w:vAlign w:val="center"/>
          </w:tcPr>
          <w:p>
            <w:pPr>
              <w:widowControl/>
              <w:jc w:val="center"/>
              <w:rPr>
                <w:rFonts w:ascii="宋体" w:hAnsi="宋体" w:cs="宋体"/>
                <w:b/>
                <w:bCs/>
                <w:color w:val="000000"/>
                <w:sz w:val="18"/>
                <w:szCs w:val="18"/>
              </w:rPr>
            </w:pPr>
            <w:r>
              <w:rPr>
                <w:rFonts w:hint="eastAsia" w:ascii="宋体" w:hAnsi="宋体" w:cs="宋体"/>
                <w:b/>
                <w:bCs/>
                <w:color w:val="000000"/>
                <w:sz w:val="18"/>
                <w:szCs w:val="18"/>
              </w:rPr>
              <w:t>分值</w:t>
            </w:r>
          </w:p>
        </w:tc>
      </w:tr>
      <w:tr>
        <w:tblPrEx>
          <w:tblCellMar>
            <w:top w:w="0" w:type="dxa"/>
            <w:left w:w="108" w:type="dxa"/>
            <w:bottom w:w="0" w:type="dxa"/>
            <w:right w:w="108" w:type="dxa"/>
          </w:tblCellMar>
        </w:tblPrEx>
        <w:trPr>
          <w:trHeight w:val="913" w:hRule="atLeast"/>
        </w:trPr>
        <w:tc>
          <w:tcPr>
            <w:tcW w:w="490" w:type="dxa"/>
            <w:vMerge w:val="restart"/>
            <w:tcBorders>
              <w:top w:val="nil"/>
              <w:left w:val="single" w:color="auto" w:sz="8" w:space="0"/>
              <w:bottom w:val="single" w:color="auto" w:sz="8" w:space="0"/>
              <w:right w:val="single" w:color="auto" w:sz="4" w:space="0"/>
            </w:tcBorders>
            <w:noWrap w:val="0"/>
            <w:vAlign w:val="center"/>
          </w:tcPr>
          <w:p>
            <w:pPr>
              <w:widowControl/>
              <w:jc w:val="center"/>
              <w:rPr>
                <w:rFonts w:ascii="宋体" w:hAnsi="宋体" w:cs="Arial"/>
                <w:color w:val="000000"/>
                <w:sz w:val="18"/>
                <w:szCs w:val="18"/>
              </w:rPr>
            </w:pPr>
            <w:r>
              <w:rPr>
                <w:rFonts w:ascii="宋体" w:hAnsi="宋体" w:cs="Arial"/>
                <w:color w:val="000000"/>
                <w:sz w:val="18"/>
                <w:szCs w:val="18"/>
              </w:rPr>
              <w:t>1</w:t>
            </w:r>
          </w:p>
        </w:tc>
        <w:tc>
          <w:tcPr>
            <w:tcW w:w="103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商务部分</w:t>
            </w:r>
            <w:r>
              <w:rPr>
                <w:rFonts w:hint="eastAsia" w:ascii="仿宋_GB2312" w:hAnsi="仿宋_GB2312" w:eastAsia="仿宋_GB2312" w:cs="仿宋_GB2312"/>
                <w:color w:val="000000"/>
                <w:sz w:val="18"/>
                <w:szCs w:val="18"/>
              </w:rPr>
              <w:br w:type="textWrapping"/>
            </w:r>
            <w:r>
              <w:rPr>
                <w:rFonts w:hint="eastAsia" w:ascii="仿宋_GB2312" w:hAnsi="仿宋_GB2312" w:eastAsia="仿宋_GB2312" w:cs="仿宋_GB2312"/>
                <w:color w:val="000000"/>
                <w:sz w:val="18"/>
                <w:szCs w:val="18"/>
              </w:rPr>
              <w:t>（2</w:t>
            </w:r>
            <w:r>
              <w:rPr>
                <w:rFonts w:hint="eastAsia" w:ascii="仿宋_GB2312" w:hAnsi="仿宋_GB2312" w:eastAsia="仿宋_GB2312" w:cs="仿宋_GB2312"/>
                <w:color w:val="000000"/>
                <w:sz w:val="18"/>
                <w:szCs w:val="18"/>
                <w:lang w:val="en-US" w:eastAsia="zh-CN"/>
              </w:rPr>
              <w:t>5</w:t>
            </w:r>
            <w:r>
              <w:rPr>
                <w:rFonts w:hint="eastAsia" w:ascii="仿宋_GB2312" w:hAnsi="仿宋_GB2312" w:eastAsia="仿宋_GB2312" w:cs="仿宋_GB2312"/>
                <w:color w:val="000000"/>
                <w:sz w:val="18"/>
                <w:szCs w:val="18"/>
              </w:rPr>
              <w:t>分）</w:t>
            </w:r>
          </w:p>
        </w:tc>
        <w:tc>
          <w:tcPr>
            <w:tcW w:w="11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供应商</w:t>
            </w:r>
            <w:r>
              <w:rPr>
                <w:rFonts w:hint="eastAsia" w:ascii="仿宋_GB2312" w:hAnsi="仿宋_GB2312" w:eastAsia="仿宋_GB2312" w:cs="仿宋_GB2312"/>
                <w:sz w:val="18"/>
                <w:szCs w:val="18"/>
              </w:rPr>
              <w:t>基本情况</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（5分）</w:t>
            </w:r>
          </w:p>
        </w:tc>
        <w:tc>
          <w:tcPr>
            <w:tcW w:w="5796"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供应商</w:t>
            </w:r>
            <w:r>
              <w:rPr>
                <w:rFonts w:hint="eastAsia" w:ascii="仿宋_GB2312" w:hAnsi="仿宋_GB2312" w:eastAsia="仿宋_GB2312" w:cs="仿宋_GB2312"/>
                <w:sz w:val="18"/>
                <w:szCs w:val="18"/>
              </w:rPr>
              <w:t>资信情况、财务状况良好（财务审计报告</w:t>
            </w:r>
            <w:r>
              <w:rPr>
                <w:rFonts w:hint="eastAsia" w:ascii="仿宋_GB2312" w:hAnsi="仿宋_GB2312" w:eastAsia="仿宋_GB2312" w:cs="仿宋_GB2312"/>
                <w:sz w:val="18"/>
                <w:szCs w:val="18"/>
                <w:lang w:eastAsia="zh-CN"/>
              </w:rPr>
              <w:t>等</w:t>
            </w:r>
            <w:r>
              <w:rPr>
                <w:rFonts w:hint="eastAsia" w:ascii="仿宋_GB2312" w:hAnsi="仿宋_GB2312" w:eastAsia="仿宋_GB2312" w:cs="仿宋_GB2312"/>
                <w:sz w:val="18"/>
                <w:szCs w:val="18"/>
              </w:rPr>
              <w:t>）</w:t>
            </w:r>
            <w:r>
              <w:rPr>
                <w:rFonts w:hint="eastAsia" w:ascii="仿宋_GB2312" w:hAnsi="仿宋_GB2312" w:eastAsia="仿宋_GB2312" w:cs="仿宋_GB2312"/>
                <w:sz w:val="18"/>
                <w:szCs w:val="18"/>
                <w:lang w:eastAsia="zh-CN"/>
              </w:rPr>
              <w:t>，财务管理规范，有专业财务管理队伍。</w:t>
            </w:r>
          </w:p>
        </w:tc>
        <w:tc>
          <w:tcPr>
            <w:tcW w:w="758" w:type="dxa"/>
            <w:tcBorders>
              <w:top w:val="nil"/>
              <w:left w:val="single" w:color="auto" w:sz="4" w:space="0"/>
              <w:bottom w:val="single" w:color="auto" w:sz="8" w:space="0"/>
              <w:right w:val="single" w:color="auto" w:sz="8" w:space="0"/>
            </w:tcBorders>
            <w:noWrap w:val="0"/>
            <w:vAlign w:val="center"/>
          </w:tcPr>
          <w:p>
            <w:pPr>
              <w:widowControl/>
              <w:jc w:val="center"/>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val="en-US" w:eastAsia="zh-CN"/>
              </w:rPr>
              <w:t>0-5</w:t>
            </w:r>
          </w:p>
        </w:tc>
      </w:tr>
      <w:tr>
        <w:tblPrEx>
          <w:tblCellMar>
            <w:top w:w="0" w:type="dxa"/>
            <w:left w:w="108" w:type="dxa"/>
            <w:bottom w:w="0" w:type="dxa"/>
            <w:right w:w="108" w:type="dxa"/>
          </w:tblCellMar>
        </w:tblPrEx>
        <w:trPr>
          <w:trHeight w:val="1511" w:hRule="atLeast"/>
        </w:trPr>
        <w:tc>
          <w:tcPr>
            <w:tcW w:w="490" w:type="dxa"/>
            <w:vMerge w:val="continue"/>
            <w:tcBorders>
              <w:top w:val="nil"/>
              <w:left w:val="single" w:color="auto" w:sz="8" w:space="0"/>
              <w:bottom w:val="single" w:color="auto" w:sz="8" w:space="0"/>
              <w:right w:val="single" w:color="auto" w:sz="4" w:space="0"/>
            </w:tcBorders>
            <w:noWrap w:val="0"/>
            <w:vAlign w:val="center"/>
          </w:tcPr>
          <w:p>
            <w:pPr>
              <w:widowControl/>
              <w:rPr>
                <w:rFonts w:ascii="宋体" w:hAnsi="宋体" w:cs="Arial"/>
                <w:color w:val="000000"/>
                <w:sz w:val="18"/>
                <w:szCs w:val="18"/>
              </w:rPr>
            </w:pPr>
          </w:p>
        </w:tc>
        <w:tc>
          <w:tcPr>
            <w:tcW w:w="103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仿宋_GB2312" w:eastAsia="仿宋_GB2312" w:cs="仿宋_GB2312"/>
                <w:color w:val="000000"/>
                <w:sz w:val="18"/>
                <w:szCs w:val="18"/>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供应商</w:t>
            </w:r>
            <w:r>
              <w:rPr>
                <w:rFonts w:hint="eastAsia" w:ascii="仿宋_GB2312" w:hAnsi="仿宋_GB2312" w:eastAsia="仿宋_GB2312" w:cs="仿宋_GB2312"/>
                <w:sz w:val="18"/>
                <w:szCs w:val="18"/>
              </w:rPr>
              <w:t>的业绩</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w:t>
            </w:r>
            <w:r>
              <w:rPr>
                <w:rFonts w:hint="eastAsia" w:ascii="仿宋_GB2312" w:hAnsi="仿宋_GB2312" w:eastAsia="仿宋_GB2312" w:cs="仿宋_GB2312"/>
                <w:sz w:val="18"/>
                <w:szCs w:val="18"/>
                <w:lang w:val="en-US" w:eastAsia="zh-CN"/>
              </w:rPr>
              <w:t>20</w:t>
            </w:r>
            <w:r>
              <w:rPr>
                <w:rFonts w:hint="eastAsia" w:ascii="仿宋_GB2312" w:hAnsi="仿宋_GB2312" w:eastAsia="仿宋_GB2312" w:cs="仿宋_GB2312"/>
                <w:sz w:val="18"/>
                <w:szCs w:val="18"/>
              </w:rPr>
              <w:t>分）</w:t>
            </w:r>
          </w:p>
        </w:tc>
        <w:tc>
          <w:tcPr>
            <w:tcW w:w="5796"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供应商近三年（2019年1月起至本采购活动遴选公告发布前（以合同签订日期为准）承接过政府委托的相关服务项目业绩</w:t>
            </w:r>
            <w:r>
              <w:rPr>
                <w:rFonts w:hint="eastAsia" w:ascii="仿宋_GB2312" w:hAnsi="仿宋_GB2312" w:eastAsia="仿宋_GB2312" w:cs="仿宋_GB2312"/>
                <w:sz w:val="18"/>
                <w:szCs w:val="18"/>
                <w:lang w:val="en-US" w:eastAsia="zh-CN"/>
              </w:rPr>
              <w:t>（如社区医疗卫生服务相关或医务社工相关）</w:t>
            </w:r>
            <w:r>
              <w:rPr>
                <w:rFonts w:hint="eastAsia" w:ascii="仿宋_GB2312" w:hAnsi="仿宋_GB2312" w:eastAsia="仿宋_GB2312" w:cs="仿宋_GB2312"/>
                <w:sz w:val="18"/>
                <w:szCs w:val="18"/>
                <w:lang w:val="en-US" w:eastAsia="zh-CN"/>
              </w:rPr>
              <w:t>，每提供1个业绩得5分，最多得20分。</w:t>
            </w:r>
            <w:r>
              <w:rPr>
                <w:rFonts w:hint="eastAsia" w:ascii="仿宋_GB2312" w:hAnsi="仿宋_GB2312" w:eastAsia="仿宋_GB2312" w:cs="仿宋_GB2312"/>
                <w:sz w:val="18"/>
                <w:szCs w:val="18"/>
                <w:lang w:val="en-US" w:eastAsia="zh-CN"/>
              </w:rPr>
              <w:br w:type="textWrapping"/>
            </w:r>
            <w:r>
              <w:rPr>
                <w:rFonts w:hint="eastAsia" w:ascii="仿宋_GB2312" w:hAnsi="仿宋_GB2312" w:eastAsia="仿宋_GB2312" w:cs="仿宋_GB2312"/>
                <w:sz w:val="18"/>
                <w:szCs w:val="18"/>
                <w:lang w:val="en-US" w:eastAsia="zh-CN"/>
              </w:rPr>
              <w:t>注：需提供业绩合同或协议复印件并加盖</w:t>
            </w:r>
            <w:bookmarkStart w:id="0" w:name="_GoBack"/>
            <w:bookmarkEnd w:id="0"/>
            <w:r>
              <w:rPr>
                <w:rFonts w:hint="eastAsia" w:ascii="仿宋_GB2312" w:hAnsi="仿宋_GB2312" w:eastAsia="仿宋_GB2312" w:cs="仿宋_GB2312"/>
                <w:sz w:val="18"/>
                <w:szCs w:val="18"/>
                <w:lang w:val="en-US" w:eastAsia="zh-CN"/>
              </w:rPr>
              <w:t>公章，如无材料证明或证明材料不完整，上述内容将视为零分。</w:t>
            </w:r>
          </w:p>
        </w:tc>
        <w:tc>
          <w:tcPr>
            <w:tcW w:w="758" w:type="dxa"/>
            <w:tcBorders>
              <w:top w:val="nil"/>
              <w:left w:val="single" w:color="auto" w:sz="4" w:space="0"/>
              <w:bottom w:val="single" w:color="auto" w:sz="8" w:space="0"/>
              <w:right w:val="single" w:color="auto" w:sz="8" w:space="0"/>
            </w:tcBorders>
            <w:noWrap w:val="0"/>
            <w:vAlign w:val="center"/>
          </w:tcPr>
          <w:p>
            <w:pPr>
              <w:widowControl/>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0-20</w:t>
            </w:r>
          </w:p>
        </w:tc>
      </w:tr>
      <w:tr>
        <w:tblPrEx>
          <w:tblCellMar>
            <w:top w:w="0" w:type="dxa"/>
            <w:left w:w="108" w:type="dxa"/>
            <w:bottom w:w="0" w:type="dxa"/>
            <w:right w:w="108" w:type="dxa"/>
          </w:tblCellMar>
        </w:tblPrEx>
        <w:trPr>
          <w:trHeight w:val="420" w:hRule="atLeast"/>
        </w:trPr>
        <w:tc>
          <w:tcPr>
            <w:tcW w:w="490" w:type="dxa"/>
            <w:vMerge w:val="restart"/>
            <w:tcBorders>
              <w:top w:val="nil"/>
              <w:left w:val="single" w:color="auto" w:sz="8" w:space="0"/>
              <w:right w:val="single" w:color="auto" w:sz="4" w:space="0"/>
            </w:tcBorders>
            <w:noWrap w:val="0"/>
            <w:vAlign w:val="center"/>
          </w:tcPr>
          <w:p>
            <w:pPr>
              <w:widowControl/>
              <w:jc w:val="center"/>
              <w:rPr>
                <w:rFonts w:ascii="宋体" w:hAnsi="宋体" w:cs="Arial"/>
                <w:color w:val="000000"/>
                <w:sz w:val="18"/>
                <w:szCs w:val="18"/>
              </w:rPr>
            </w:pPr>
            <w:r>
              <w:rPr>
                <w:rFonts w:ascii="宋体" w:hAnsi="宋体" w:cs="Arial"/>
                <w:color w:val="000000"/>
                <w:sz w:val="18"/>
                <w:szCs w:val="18"/>
              </w:rPr>
              <w:t>2</w:t>
            </w:r>
          </w:p>
        </w:tc>
        <w:tc>
          <w:tcPr>
            <w:tcW w:w="1033"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技术部分（6</w:t>
            </w:r>
            <w:r>
              <w:rPr>
                <w:rFonts w:hint="eastAsia" w:ascii="仿宋_GB2312" w:hAnsi="仿宋_GB2312" w:eastAsia="仿宋_GB2312" w:cs="仿宋_GB2312"/>
                <w:color w:val="000000"/>
                <w:sz w:val="18"/>
                <w:szCs w:val="18"/>
                <w:lang w:val="en-US" w:eastAsia="zh-CN"/>
              </w:rPr>
              <w:t>5</w:t>
            </w:r>
            <w:r>
              <w:rPr>
                <w:rFonts w:hint="eastAsia" w:ascii="仿宋_GB2312" w:hAnsi="仿宋_GB2312" w:eastAsia="仿宋_GB2312" w:cs="仿宋_GB2312"/>
                <w:color w:val="000000"/>
                <w:sz w:val="18"/>
                <w:szCs w:val="18"/>
              </w:rPr>
              <w:t>分）</w:t>
            </w:r>
          </w:p>
        </w:tc>
        <w:tc>
          <w:tcPr>
            <w:tcW w:w="11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i w:val="0"/>
                <w:color w:val="000000"/>
                <w:kern w:val="0"/>
                <w:sz w:val="18"/>
                <w:szCs w:val="18"/>
                <w:u w:val="none"/>
                <w:lang w:val="en-US" w:eastAsia="zh-CN" w:bidi="ar-SA"/>
              </w:rPr>
              <w:t>项目方案</w:t>
            </w:r>
          </w:p>
        </w:tc>
        <w:tc>
          <w:tcPr>
            <w:tcW w:w="5796"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仿宋_GB2312" w:eastAsia="仿宋_GB2312" w:cs="仿宋_GB2312"/>
                <w:sz w:val="18"/>
                <w:szCs w:val="18"/>
              </w:rPr>
            </w:pPr>
            <w:r>
              <w:rPr>
                <w:rFonts w:hint="eastAsia" w:ascii="仿宋_GB2312" w:hAnsi="仿宋_GB2312" w:eastAsia="仿宋_GB2312" w:cs="仿宋_GB2312"/>
                <w:i w:val="0"/>
                <w:color w:val="000000"/>
                <w:kern w:val="0"/>
                <w:sz w:val="18"/>
                <w:szCs w:val="18"/>
                <w:u w:val="none"/>
                <w:lang w:val="en-US" w:eastAsia="zh-CN" w:bidi="ar-SA"/>
              </w:rPr>
              <w:t>项目方案科学合理性强、内容详细全面，可行性强,得25-35分；项目方案科学合理性较强、内容较为详细全面，可行性较好,得9-24分；项目方案科学合理、内容一般，有可行性,得1-8分；项目方案科学合理较差、内容不充实，可行性差,得0分。</w:t>
            </w:r>
          </w:p>
        </w:tc>
        <w:tc>
          <w:tcPr>
            <w:tcW w:w="758" w:type="dxa"/>
            <w:tcBorders>
              <w:top w:val="nil"/>
              <w:left w:val="single" w:color="auto" w:sz="4" w:space="0"/>
              <w:bottom w:val="single" w:color="auto" w:sz="8" w:space="0"/>
              <w:right w:val="single" w:color="auto" w:sz="8" w:space="0"/>
            </w:tcBorders>
            <w:noWrap w:val="0"/>
            <w:vAlign w:val="center"/>
          </w:tcPr>
          <w:p>
            <w:pPr>
              <w:widowControl/>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0-35</w:t>
            </w:r>
          </w:p>
        </w:tc>
      </w:tr>
      <w:tr>
        <w:tblPrEx>
          <w:tblCellMar>
            <w:top w:w="0" w:type="dxa"/>
            <w:left w:w="108" w:type="dxa"/>
            <w:bottom w:w="0" w:type="dxa"/>
            <w:right w:w="108" w:type="dxa"/>
          </w:tblCellMar>
        </w:tblPrEx>
        <w:trPr>
          <w:trHeight w:val="420" w:hRule="atLeast"/>
        </w:trPr>
        <w:tc>
          <w:tcPr>
            <w:tcW w:w="490" w:type="dxa"/>
            <w:vMerge w:val="continue"/>
            <w:tcBorders>
              <w:left w:val="single" w:color="auto" w:sz="8" w:space="0"/>
              <w:right w:val="single" w:color="auto" w:sz="4" w:space="0"/>
            </w:tcBorders>
            <w:noWrap w:val="0"/>
            <w:vAlign w:val="center"/>
          </w:tcPr>
          <w:p>
            <w:pPr>
              <w:widowControl/>
              <w:jc w:val="center"/>
              <w:rPr>
                <w:rFonts w:ascii="宋体" w:hAnsi="宋体" w:cs="Arial"/>
                <w:color w:val="000000"/>
                <w:sz w:val="18"/>
                <w:szCs w:val="18"/>
              </w:rPr>
            </w:pPr>
          </w:p>
        </w:tc>
        <w:tc>
          <w:tcPr>
            <w:tcW w:w="1033" w:type="dxa"/>
            <w:vMerge w:val="continue"/>
            <w:tcBorders>
              <w:left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sz w:val="18"/>
                <w:szCs w:val="18"/>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i w:val="0"/>
                <w:color w:val="000000"/>
                <w:kern w:val="0"/>
                <w:sz w:val="18"/>
                <w:szCs w:val="18"/>
                <w:u w:val="none"/>
                <w:lang w:val="en-US" w:eastAsia="zh-CN" w:bidi="ar-SA"/>
              </w:rPr>
              <w:t>项目人员配备</w:t>
            </w:r>
          </w:p>
        </w:tc>
        <w:tc>
          <w:tcPr>
            <w:tcW w:w="5796"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仿宋_GB2312" w:eastAsia="仿宋_GB2312" w:cs="仿宋_GB2312"/>
                <w:sz w:val="18"/>
                <w:szCs w:val="18"/>
                <w:lang w:eastAsia="zh-CN"/>
              </w:rPr>
            </w:pPr>
            <w:r>
              <w:rPr>
                <w:rFonts w:hint="eastAsia" w:ascii="仿宋_GB2312" w:hAnsi="仿宋_GB2312" w:eastAsia="仿宋_GB2312" w:cs="仿宋_GB2312"/>
                <w:i w:val="0"/>
                <w:color w:val="000000"/>
                <w:kern w:val="0"/>
                <w:sz w:val="18"/>
                <w:szCs w:val="18"/>
                <w:u w:val="none"/>
                <w:lang w:val="en-US" w:eastAsia="zh-CN" w:bidi="ar-SA"/>
              </w:rPr>
              <w:t>拟投入本项目团队人员评价：</w:t>
            </w:r>
            <w:r>
              <w:rPr>
                <w:rFonts w:hint="eastAsia" w:ascii="仿宋_GB2312" w:hAnsi="仿宋_GB2312" w:eastAsia="仿宋_GB2312" w:cs="仿宋_GB2312"/>
                <w:i w:val="0"/>
                <w:color w:val="000000"/>
                <w:kern w:val="0"/>
                <w:sz w:val="18"/>
                <w:szCs w:val="18"/>
                <w:u w:val="none"/>
                <w:lang w:val="en-US" w:eastAsia="zh-CN" w:bidi="ar-SA"/>
              </w:rPr>
              <w:br w:type="textWrapping"/>
            </w:r>
            <w:r>
              <w:rPr>
                <w:rFonts w:hint="eastAsia" w:ascii="仿宋_GB2312" w:hAnsi="仿宋_GB2312" w:eastAsia="仿宋_GB2312" w:cs="仿宋_GB2312"/>
                <w:i w:val="0"/>
                <w:color w:val="000000"/>
                <w:kern w:val="0"/>
                <w:sz w:val="18"/>
                <w:szCs w:val="18"/>
                <w:u w:val="none"/>
                <w:lang w:val="en-US" w:eastAsia="zh-CN" w:bidi="ar-SA"/>
              </w:rPr>
              <w:t>（1）类似工作经验丰富，学历（专业）优于/符合要求，分工明确，与项目实际契合度高，得7-10分；</w:t>
            </w:r>
            <w:r>
              <w:rPr>
                <w:rFonts w:hint="eastAsia" w:ascii="仿宋_GB2312" w:hAnsi="仿宋_GB2312" w:eastAsia="仿宋_GB2312" w:cs="仿宋_GB2312"/>
                <w:i w:val="0"/>
                <w:color w:val="000000"/>
                <w:kern w:val="0"/>
                <w:sz w:val="18"/>
                <w:szCs w:val="18"/>
                <w:u w:val="none"/>
                <w:lang w:val="en-US" w:eastAsia="zh-CN" w:bidi="ar-SA"/>
              </w:rPr>
              <w:br w:type="textWrapping"/>
            </w:r>
            <w:r>
              <w:rPr>
                <w:rFonts w:hint="eastAsia" w:ascii="仿宋_GB2312" w:hAnsi="仿宋_GB2312" w:eastAsia="仿宋_GB2312" w:cs="仿宋_GB2312"/>
                <w:i w:val="0"/>
                <w:color w:val="000000"/>
                <w:kern w:val="0"/>
                <w:sz w:val="18"/>
                <w:szCs w:val="18"/>
                <w:u w:val="none"/>
                <w:lang w:val="en-US" w:eastAsia="zh-CN" w:bidi="ar-SA"/>
              </w:rPr>
              <w:t>（2）类似工作经验较丰富，学历（专业）符合要求，分工较明确，与项目实际契合度较高，得4-6分；</w:t>
            </w:r>
            <w:r>
              <w:rPr>
                <w:rFonts w:hint="eastAsia" w:ascii="仿宋_GB2312" w:hAnsi="仿宋_GB2312" w:eastAsia="仿宋_GB2312" w:cs="仿宋_GB2312"/>
                <w:i w:val="0"/>
                <w:color w:val="000000"/>
                <w:kern w:val="0"/>
                <w:sz w:val="18"/>
                <w:szCs w:val="18"/>
                <w:u w:val="none"/>
                <w:lang w:val="en-US" w:eastAsia="zh-CN" w:bidi="ar-SA"/>
              </w:rPr>
              <w:br w:type="textWrapping"/>
            </w:r>
            <w:r>
              <w:rPr>
                <w:rFonts w:hint="eastAsia" w:ascii="仿宋_GB2312" w:hAnsi="仿宋_GB2312" w:eastAsia="仿宋_GB2312" w:cs="仿宋_GB2312"/>
                <w:i w:val="0"/>
                <w:color w:val="000000"/>
                <w:kern w:val="0"/>
                <w:sz w:val="18"/>
                <w:szCs w:val="18"/>
                <w:u w:val="none"/>
                <w:lang w:val="en-US" w:eastAsia="zh-CN" w:bidi="ar-SA"/>
              </w:rPr>
              <w:t>（3）类似工作经验一般，学历（专业）基本满足要求，分工一般，与项目实际契合度一般，得1-3分；</w:t>
            </w:r>
            <w:r>
              <w:rPr>
                <w:rFonts w:hint="eastAsia" w:ascii="仿宋_GB2312" w:hAnsi="仿宋_GB2312" w:eastAsia="仿宋_GB2312" w:cs="仿宋_GB2312"/>
                <w:i w:val="0"/>
                <w:color w:val="000000"/>
                <w:kern w:val="0"/>
                <w:sz w:val="18"/>
                <w:szCs w:val="18"/>
                <w:u w:val="none"/>
                <w:lang w:val="en-US" w:eastAsia="zh-CN" w:bidi="ar-SA"/>
              </w:rPr>
              <w:br w:type="textWrapping"/>
            </w:r>
            <w:r>
              <w:rPr>
                <w:rFonts w:hint="eastAsia" w:ascii="仿宋_GB2312" w:hAnsi="仿宋_GB2312" w:eastAsia="仿宋_GB2312" w:cs="仿宋_GB2312"/>
                <w:i w:val="0"/>
                <w:color w:val="000000"/>
                <w:kern w:val="0"/>
                <w:sz w:val="18"/>
                <w:szCs w:val="18"/>
                <w:u w:val="none"/>
                <w:lang w:val="en-US" w:eastAsia="zh-CN" w:bidi="ar-SA"/>
              </w:rPr>
              <w:t>（4）类似工作经验较差，学历（专业）较差，分工不明确，无法满足实际需要，得0分。</w:t>
            </w:r>
            <w:r>
              <w:rPr>
                <w:rFonts w:hint="eastAsia" w:ascii="仿宋_GB2312" w:hAnsi="仿宋_GB2312" w:eastAsia="仿宋_GB2312" w:cs="仿宋_GB2312"/>
                <w:i w:val="0"/>
                <w:color w:val="000000"/>
                <w:kern w:val="0"/>
                <w:sz w:val="18"/>
                <w:szCs w:val="18"/>
                <w:u w:val="none"/>
                <w:lang w:val="en-US" w:eastAsia="zh-CN" w:bidi="ar-SA"/>
              </w:rPr>
              <w:br w:type="textWrapping"/>
            </w:r>
            <w:r>
              <w:rPr>
                <w:rFonts w:hint="eastAsia" w:ascii="仿宋_GB2312" w:hAnsi="仿宋_GB2312" w:eastAsia="仿宋_GB2312" w:cs="仿宋_GB2312"/>
                <w:i w:val="0"/>
                <w:color w:val="000000"/>
                <w:kern w:val="0"/>
                <w:sz w:val="18"/>
                <w:szCs w:val="18"/>
                <w:u w:val="none"/>
                <w:lang w:val="en-US" w:eastAsia="zh-CN" w:bidi="ar-SA"/>
              </w:rPr>
              <w:t>注：需提供项目团队人员劳动合同复印件、工作简历、学历证书复印件。</w:t>
            </w:r>
          </w:p>
        </w:tc>
        <w:tc>
          <w:tcPr>
            <w:tcW w:w="758" w:type="dxa"/>
            <w:tcBorders>
              <w:top w:val="nil"/>
              <w:left w:val="single" w:color="auto" w:sz="4" w:space="0"/>
              <w:bottom w:val="single" w:color="auto" w:sz="8" w:space="0"/>
              <w:right w:val="single" w:color="auto" w:sz="8" w:space="0"/>
            </w:tcBorders>
            <w:noWrap w:val="0"/>
            <w:vAlign w:val="center"/>
          </w:tcPr>
          <w:p>
            <w:pPr>
              <w:widowControl/>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0-10</w:t>
            </w:r>
          </w:p>
        </w:tc>
      </w:tr>
      <w:tr>
        <w:tblPrEx>
          <w:tblCellMar>
            <w:top w:w="0" w:type="dxa"/>
            <w:left w:w="108" w:type="dxa"/>
            <w:bottom w:w="0" w:type="dxa"/>
            <w:right w:w="108" w:type="dxa"/>
          </w:tblCellMar>
        </w:tblPrEx>
        <w:trPr>
          <w:trHeight w:val="1635" w:hRule="atLeast"/>
        </w:trPr>
        <w:tc>
          <w:tcPr>
            <w:tcW w:w="490" w:type="dxa"/>
            <w:vMerge w:val="continue"/>
            <w:tcBorders>
              <w:left w:val="single" w:color="auto" w:sz="8" w:space="0"/>
              <w:right w:val="single" w:color="auto" w:sz="4" w:space="0"/>
            </w:tcBorders>
            <w:noWrap w:val="0"/>
            <w:vAlign w:val="center"/>
          </w:tcPr>
          <w:p>
            <w:pPr>
              <w:widowControl/>
              <w:rPr>
                <w:rFonts w:ascii="宋体" w:hAnsi="宋体" w:cs="Arial"/>
                <w:color w:val="000000"/>
                <w:sz w:val="18"/>
                <w:szCs w:val="18"/>
              </w:rPr>
            </w:pPr>
          </w:p>
        </w:tc>
        <w:tc>
          <w:tcPr>
            <w:tcW w:w="1033" w:type="dxa"/>
            <w:vMerge w:val="continue"/>
            <w:tcBorders>
              <w:left w:val="single" w:color="auto" w:sz="4" w:space="0"/>
              <w:right w:val="single" w:color="auto" w:sz="4" w:space="0"/>
            </w:tcBorders>
            <w:noWrap w:val="0"/>
            <w:vAlign w:val="center"/>
          </w:tcPr>
          <w:p>
            <w:pPr>
              <w:widowControl/>
              <w:rPr>
                <w:rFonts w:hint="eastAsia" w:ascii="仿宋_GB2312" w:hAnsi="仿宋_GB2312" w:eastAsia="仿宋_GB2312" w:cs="仿宋_GB2312"/>
                <w:color w:val="000000"/>
                <w:sz w:val="18"/>
                <w:szCs w:val="18"/>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i w:val="0"/>
                <w:color w:val="000000"/>
                <w:kern w:val="0"/>
                <w:sz w:val="18"/>
                <w:szCs w:val="18"/>
                <w:u w:val="none"/>
                <w:lang w:val="en-US" w:eastAsia="zh-CN" w:bidi="ar-SA"/>
              </w:rPr>
              <w:t>质量保证措施</w:t>
            </w:r>
          </w:p>
        </w:tc>
        <w:tc>
          <w:tcPr>
            <w:tcW w:w="5796"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仿宋_GB2312" w:eastAsia="仿宋_GB2312" w:cs="仿宋_GB2312"/>
                <w:sz w:val="18"/>
                <w:szCs w:val="18"/>
              </w:rPr>
            </w:pPr>
            <w:r>
              <w:rPr>
                <w:rFonts w:hint="eastAsia" w:ascii="仿宋_GB2312" w:hAnsi="仿宋_GB2312" w:eastAsia="仿宋_GB2312" w:cs="仿宋_GB2312"/>
                <w:i w:val="0"/>
                <w:color w:val="000000"/>
                <w:kern w:val="0"/>
                <w:sz w:val="18"/>
                <w:szCs w:val="18"/>
                <w:u w:val="none"/>
                <w:lang w:val="en-US" w:eastAsia="zh-CN" w:bidi="ar-SA"/>
              </w:rPr>
              <w:t>供应商质量管理体系健全，技术支持有保障，人员安排合理，能够在服务期内高质量完成合同要求。优秀的，得7-10分；良好的，得4-6分；一般的，得1-3分；较差的，得0分。</w:t>
            </w:r>
          </w:p>
        </w:tc>
        <w:tc>
          <w:tcPr>
            <w:tcW w:w="758" w:type="dxa"/>
            <w:tcBorders>
              <w:top w:val="nil"/>
              <w:left w:val="single" w:color="auto" w:sz="4" w:space="0"/>
              <w:bottom w:val="single" w:color="auto" w:sz="8" w:space="0"/>
              <w:right w:val="single" w:color="auto" w:sz="8" w:space="0"/>
            </w:tcBorders>
            <w:noWrap w:val="0"/>
            <w:vAlign w:val="center"/>
          </w:tcPr>
          <w:p>
            <w:pPr>
              <w:widowControl/>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0-10</w:t>
            </w:r>
          </w:p>
        </w:tc>
      </w:tr>
      <w:tr>
        <w:tblPrEx>
          <w:tblCellMar>
            <w:top w:w="0" w:type="dxa"/>
            <w:left w:w="108" w:type="dxa"/>
            <w:bottom w:w="0" w:type="dxa"/>
            <w:right w:w="108" w:type="dxa"/>
          </w:tblCellMar>
        </w:tblPrEx>
        <w:trPr>
          <w:trHeight w:val="2355" w:hRule="atLeast"/>
        </w:trPr>
        <w:tc>
          <w:tcPr>
            <w:tcW w:w="490" w:type="dxa"/>
            <w:vMerge w:val="continue"/>
            <w:tcBorders>
              <w:left w:val="single" w:color="auto" w:sz="8" w:space="0"/>
              <w:right w:val="single" w:color="auto" w:sz="4" w:space="0"/>
            </w:tcBorders>
            <w:noWrap w:val="0"/>
            <w:vAlign w:val="center"/>
          </w:tcPr>
          <w:p>
            <w:pPr>
              <w:widowControl/>
              <w:rPr>
                <w:rFonts w:ascii="宋体" w:hAnsi="宋体" w:cs="Arial"/>
                <w:color w:val="000000"/>
                <w:sz w:val="18"/>
                <w:szCs w:val="18"/>
              </w:rPr>
            </w:pPr>
          </w:p>
        </w:tc>
        <w:tc>
          <w:tcPr>
            <w:tcW w:w="1033" w:type="dxa"/>
            <w:vMerge w:val="continue"/>
            <w:tcBorders>
              <w:left w:val="single" w:color="auto" w:sz="4" w:space="0"/>
              <w:bottom w:val="single" w:color="auto" w:sz="4" w:space="0"/>
              <w:right w:val="single" w:color="auto" w:sz="4" w:space="0"/>
            </w:tcBorders>
            <w:noWrap w:val="0"/>
            <w:vAlign w:val="center"/>
          </w:tcPr>
          <w:p>
            <w:pPr>
              <w:widowControl/>
              <w:rPr>
                <w:rFonts w:hint="eastAsia" w:ascii="仿宋_GB2312" w:hAnsi="仿宋_GB2312" w:eastAsia="仿宋_GB2312" w:cs="仿宋_GB2312"/>
                <w:color w:val="000000"/>
                <w:sz w:val="18"/>
                <w:szCs w:val="18"/>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i w:val="0"/>
                <w:color w:val="000000"/>
                <w:kern w:val="0"/>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SA"/>
              </w:rPr>
              <w:t>服务承诺</w:t>
            </w:r>
          </w:p>
        </w:tc>
        <w:tc>
          <w:tcPr>
            <w:tcW w:w="5796"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仿宋_GB2312" w:eastAsia="仿宋_GB2312" w:cs="仿宋_GB2312"/>
                <w:i w:val="0"/>
                <w:color w:val="000000"/>
                <w:kern w:val="0"/>
                <w:sz w:val="18"/>
                <w:szCs w:val="18"/>
                <w:u w:val="none"/>
                <w:lang w:val="en-US" w:eastAsia="zh-CN" w:bidi="ar-SA"/>
              </w:rPr>
            </w:pPr>
            <w:r>
              <w:rPr>
                <w:rStyle w:val="17"/>
                <w:rFonts w:hint="eastAsia" w:ascii="仿宋_GB2312" w:hAnsi="仿宋_GB2312" w:eastAsia="仿宋_GB2312" w:cs="仿宋_GB2312"/>
                <w:sz w:val="18"/>
                <w:szCs w:val="18"/>
                <w:lang w:val="en-US" w:eastAsia="zh-CN" w:bidi="ar-SA"/>
              </w:rPr>
              <w:t>供应商须提供沟通机制，内容包括①服务人员安排②沟通方案，要求有专人定期沟通、配合。优秀的，得</w:t>
            </w:r>
            <w:r>
              <w:rPr>
                <w:rFonts w:hint="eastAsia" w:ascii="仿宋_GB2312" w:hAnsi="仿宋_GB2312" w:eastAsia="仿宋_GB2312" w:cs="仿宋_GB2312"/>
                <w:i w:val="0"/>
                <w:color w:val="000000"/>
                <w:kern w:val="0"/>
                <w:sz w:val="18"/>
                <w:szCs w:val="18"/>
                <w:u w:val="none"/>
                <w:lang w:val="en-US" w:eastAsia="zh-CN" w:bidi="ar-SA"/>
              </w:rPr>
              <w:t>7-10</w:t>
            </w:r>
            <w:r>
              <w:rPr>
                <w:rStyle w:val="17"/>
                <w:rFonts w:hint="eastAsia" w:ascii="仿宋_GB2312" w:hAnsi="仿宋_GB2312" w:eastAsia="仿宋_GB2312" w:cs="仿宋_GB2312"/>
                <w:sz w:val="18"/>
                <w:szCs w:val="18"/>
                <w:lang w:val="en-US" w:eastAsia="zh-CN" w:bidi="ar-SA"/>
              </w:rPr>
              <w:t>分；良好的，得</w:t>
            </w:r>
            <w:r>
              <w:rPr>
                <w:rFonts w:hint="eastAsia" w:ascii="仿宋_GB2312" w:hAnsi="仿宋_GB2312" w:eastAsia="仿宋_GB2312" w:cs="仿宋_GB2312"/>
                <w:i w:val="0"/>
                <w:color w:val="000000"/>
                <w:kern w:val="0"/>
                <w:sz w:val="18"/>
                <w:szCs w:val="18"/>
                <w:u w:val="none"/>
                <w:lang w:val="en-US" w:eastAsia="zh-CN" w:bidi="ar-SA"/>
              </w:rPr>
              <w:t>4-6</w:t>
            </w:r>
            <w:r>
              <w:rPr>
                <w:rStyle w:val="17"/>
                <w:rFonts w:hint="eastAsia" w:ascii="仿宋_GB2312" w:hAnsi="仿宋_GB2312" w:eastAsia="仿宋_GB2312" w:cs="仿宋_GB2312"/>
                <w:sz w:val="18"/>
                <w:szCs w:val="18"/>
                <w:lang w:val="en-US" w:eastAsia="zh-CN" w:bidi="ar-SA"/>
              </w:rPr>
              <w:t>分；一般的，得</w:t>
            </w:r>
            <w:r>
              <w:rPr>
                <w:rFonts w:hint="eastAsia" w:ascii="仿宋_GB2312" w:hAnsi="仿宋_GB2312" w:eastAsia="仿宋_GB2312" w:cs="仿宋_GB2312"/>
                <w:i w:val="0"/>
                <w:color w:val="000000"/>
                <w:kern w:val="0"/>
                <w:sz w:val="18"/>
                <w:szCs w:val="18"/>
                <w:u w:val="none"/>
                <w:lang w:val="en-US" w:eastAsia="zh-CN" w:bidi="ar-SA"/>
              </w:rPr>
              <w:t>1-3</w:t>
            </w:r>
            <w:r>
              <w:rPr>
                <w:rStyle w:val="17"/>
                <w:rFonts w:hint="eastAsia" w:ascii="仿宋_GB2312" w:hAnsi="仿宋_GB2312" w:eastAsia="仿宋_GB2312" w:cs="仿宋_GB2312"/>
                <w:sz w:val="18"/>
                <w:szCs w:val="18"/>
                <w:lang w:val="en-US" w:eastAsia="zh-CN" w:bidi="ar-SA"/>
              </w:rPr>
              <w:t>分；较差的，得</w:t>
            </w:r>
            <w:r>
              <w:rPr>
                <w:rFonts w:hint="eastAsia" w:ascii="仿宋_GB2312" w:hAnsi="仿宋_GB2312" w:eastAsia="仿宋_GB2312" w:cs="仿宋_GB2312"/>
                <w:i w:val="0"/>
                <w:color w:val="000000"/>
                <w:kern w:val="0"/>
                <w:sz w:val="18"/>
                <w:szCs w:val="18"/>
                <w:u w:val="none"/>
                <w:lang w:val="en-US" w:eastAsia="zh-CN" w:bidi="ar-SA"/>
              </w:rPr>
              <w:t>0</w:t>
            </w:r>
            <w:r>
              <w:rPr>
                <w:rStyle w:val="17"/>
                <w:rFonts w:hint="eastAsia" w:ascii="仿宋_GB2312" w:hAnsi="仿宋_GB2312" w:eastAsia="仿宋_GB2312" w:cs="仿宋_GB2312"/>
                <w:sz w:val="18"/>
                <w:szCs w:val="18"/>
                <w:lang w:val="en-US" w:eastAsia="zh-CN" w:bidi="ar-SA"/>
              </w:rPr>
              <w:t>分。</w:t>
            </w:r>
          </w:p>
        </w:tc>
        <w:tc>
          <w:tcPr>
            <w:tcW w:w="758" w:type="dxa"/>
            <w:tcBorders>
              <w:top w:val="nil"/>
              <w:left w:val="single" w:color="auto" w:sz="4" w:space="0"/>
              <w:bottom w:val="single" w:color="auto" w:sz="8" w:space="0"/>
              <w:right w:val="single" w:color="auto" w:sz="8" w:space="0"/>
            </w:tcBorders>
            <w:noWrap w:val="0"/>
            <w:vAlign w:val="center"/>
          </w:tcPr>
          <w:p>
            <w:pPr>
              <w:widowControl/>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0-10</w:t>
            </w:r>
          </w:p>
        </w:tc>
      </w:tr>
      <w:tr>
        <w:tblPrEx>
          <w:tblCellMar>
            <w:top w:w="0" w:type="dxa"/>
            <w:left w:w="108" w:type="dxa"/>
            <w:bottom w:w="0" w:type="dxa"/>
            <w:right w:w="108" w:type="dxa"/>
          </w:tblCellMar>
        </w:tblPrEx>
        <w:trPr>
          <w:trHeight w:val="510" w:hRule="atLeast"/>
        </w:trPr>
        <w:tc>
          <w:tcPr>
            <w:tcW w:w="490" w:type="dxa"/>
            <w:tcBorders>
              <w:top w:val="nil"/>
              <w:left w:val="single" w:color="auto" w:sz="8" w:space="0"/>
              <w:bottom w:val="single" w:color="auto" w:sz="8" w:space="0"/>
              <w:right w:val="single" w:color="auto" w:sz="4" w:space="0"/>
            </w:tcBorders>
            <w:noWrap w:val="0"/>
            <w:vAlign w:val="center"/>
          </w:tcPr>
          <w:p>
            <w:pPr>
              <w:widowControl/>
              <w:jc w:val="center"/>
              <w:rPr>
                <w:rFonts w:ascii="宋体" w:hAnsi="宋体" w:cs="Arial"/>
                <w:color w:val="000000"/>
                <w:sz w:val="18"/>
                <w:szCs w:val="18"/>
              </w:rPr>
            </w:pPr>
            <w:r>
              <w:rPr>
                <w:rFonts w:ascii="宋体" w:hAnsi="宋体" w:cs="Arial"/>
                <w:color w:val="000000"/>
                <w:sz w:val="18"/>
                <w:szCs w:val="18"/>
              </w:rPr>
              <w:t>3</w:t>
            </w:r>
          </w:p>
        </w:tc>
        <w:tc>
          <w:tcPr>
            <w:tcW w:w="103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投标报价（10分）</w:t>
            </w:r>
          </w:p>
        </w:tc>
        <w:tc>
          <w:tcPr>
            <w:tcW w:w="6933"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报价得分=（评标基准价/报价）×价格权值×100</w:t>
            </w:r>
          </w:p>
        </w:tc>
        <w:tc>
          <w:tcPr>
            <w:tcW w:w="758" w:type="dxa"/>
            <w:tcBorders>
              <w:top w:val="nil"/>
              <w:left w:val="single" w:color="auto" w:sz="4" w:space="0"/>
              <w:bottom w:val="single" w:color="auto" w:sz="8" w:space="0"/>
              <w:right w:val="single" w:color="auto" w:sz="8" w:space="0"/>
            </w:tcBorders>
            <w:noWrap w:val="0"/>
            <w:vAlign w:val="center"/>
          </w:tcPr>
          <w:p>
            <w:pPr>
              <w:widowControl/>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0-</w:t>
            </w:r>
            <w:r>
              <w:rPr>
                <w:rFonts w:hint="eastAsia" w:ascii="仿宋_GB2312" w:hAnsi="仿宋_GB2312" w:eastAsia="仿宋_GB2312" w:cs="仿宋_GB2312"/>
                <w:color w:val="000000"/>
                <w:sz w:val="18"/>
                <w:szCs w:val="18"/>
              </w:rPr>
              <w:t>10</w:t>
            </w:r>
          </w:p>
        </w:tc>
      </w:tr>
    </w:tbl>
    <w:p>
      <w:pPr>
        <w:spacing w:line="360" w:lineRule="auto"/>
        <w:jc w:val="both"/>
        <w:rPr>
          <w:rFonts w:ascii="仿宋" w:hAnsi="仿宋" w:eastAsia="仿宋" w:cs="宋体"/>
          <w:b/>
          <w:bCs/>
          <w:sz w:val="32"/>
          <w:szCs w:val="28"/>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仿宋_GB2312">
    <w:altName w:val="方正仿宋_GBK"/>
    <w:panose1 w:val="02010609030101010101"/>
    <w:charset w:val="86"/>
    <w:family w:val="roma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_GB2312">
    <w:altName w:val="方正仿宋_GBK"/>
    <w:panose1 w:val="02010609030101010101"/>
    <w:charset w:val="00"/>
    <w:family w:val="roma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85C"/>
    <w:rsid w:val="000A22BF"/>
    <w:rsid w:val="00193EAA"/>
    <w:rsid w:val="002813AC"/>
    <w:rsid w:val="00296944"/>
    <w:rsid w:val="002D2684"/>
    <w:rsid w:val="003B2C36"/>
    <w:rsid w:val="003D1C53"/>
    <w:rsid w:val="003E70D5"/>
    <w:rsid w:val="004D73E0"/>
    <w:rsid w:val="004F644E"/>
    <w:rsid w:val="00504DC9"/>
    <w:rsid w:val="00515BAC"/>
    <w:rsid w:val="006337E9"/>
    <w:rsid w:val="006F7B9A"/>
    <w:rsid w:val="0072607C"/>
    <w:rsid w:val="007A7660"/>
    <w:rsid w:val="008A2C42"/>
    <w:rsid w:val="0099485C"/>
    <w:rsid w:val="00B33D64"/>
    <w:rsid w:val="00B927D3"/>
    <w:rsid w:val="00BA4C9E"/>
    <w:rsid w:val="00CA49E3"/>
    <w:rsid w:val="00D875C2"/>
    <w:rsid w:val="00DB1122"/>
    <w:rsid w:val="00FF1677"/>
    <w:rsid w:val="0185358B"/>
    <w:rsid w:val="06EFD077"/>
    <w:rsid w:val="1FF7C9F3"/>
    <w:rsid w:val="258D77C5"/>
    <w:rsid w:val="37FA1A10"/>
    <w:rsid w:val="3EFB10D2"/>
    <w:rsid w:val="473506D4"/>
    <w:rsid w:val="4EFF4872"/>
    <w:rsid w:val="533B5485"/>
    <w:rsid w:val="5AF10265"/>
    <w:rsid w:val="6F57F168"/>
    <w:rsid w:val="7EBB8D2D"/>
    <w:rsid w:val="7FFF8711"/>
    <w:rsid w:val="9FAFE15A"/>
    <w:rsid w:val="AF8EA435"/>
    <w:rsid w:val="D5E970FD"/>
    <w:rsid w:val="F5BB972E"/>
    <w:rsid w:val="F76D5576"/>
    <w:rsid w:val="F96F5809"/>
    <w:rsid w:val="FBF7C983"/>
    <w:rsid w:val="FDF87BFC"/>
    <w:rsid w:val="FEFE0FB5"/>
    <w:rsid w:val="FFD75C3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link w:val="14"/>
    <w:unhideWhenUsed/>
    <w:qFormat/>
    <w:uiPriority w:val="99"/>
    <w:pPr>
      <w:jc w:val="left"/>
    </w:pPr>
  </w:style>
  <w:style w:type="paragraph" w:styleId="3">
    <w:name w:val="Balloon Text"/>
    <w:basedOn w:val="1"/>
    <w:link w:val="16"/>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unhideWhenUsed/>
    <w:qFormat/>
    <w:uiPriority w:val="99"/>
    <w:rPr>
      <w:b/>
      <w:bCs/>
    </w:rPr>
  </w:style>
  <w:style w:type="character" w:styleId="9">
    <w:name w:val="annotation reference"/>
    <w:basedOn w:val="8"/>
    <w:unhideWhenUsed/>
    <w:qFormat/>
    <w:uiPriority w:val="99"/>
    <w:rPr>
      <w:sz w:val="21"/>
      <w:szCs w:val="21"/>
    </w:rPr>
  </w:style>
  <w:style w:type="paragraph" w:customStyle="1" w:styleId="10">
    <w:name w:val="List Paragraph"/>
    <w:basedOn w:val="1"/>
    <w:link w:val="13"/>
    <w:qFormat/>
    <w:uiPriority w:val="34"/>
    <w:pPr>
      <w:ind w:firstLine="420" w:firstLineChars="200"/>
    </w:pPr>
    <w:rPr>
      <w:rFonts w:ascii="Calibri" w:hAnsi="Calibri"/>
    </w:rPr>
  </w:style>
  <w:style w:type="character" w:customStyle="1" w:styleId="11">
    <w:name w:val="页眉 Char"/>
    <w:basedOn w:val="8"/>
    <w:link w:val="5"/>
    <w:qFormat/>
    <w:uiPriority w:val="99"/>
    <w:rPr>
      <w:sz w:val="18"/>
      <w:szCs w:val="18"/>
    </w:rPr>
  </w:style>
  <w:style w:type="character" w:customStyle="1" w:styleId="12">
    <w:name w:val="页脚 Char"/>
    <w:basedOn w:val="8"/>
    <w:link w:val="4"/>
    <w:qFormat/>
    <w:uiPriority w:val="99"/>
    <w:rPr>
      <w:sz w:val="18"/>
      <w:szCs w:val="18"/>
    </w:rPr>
  </w:style>
  <w:style w:type="character" w:customStyle="1" w:styleId="13">
    <w:name w:val="列出段落 Char"/>
    <w:link w:val="10"/>
    <w:qFormat/>
    <w:uiPriority w:val="34"/>
    <w:rPr>
      <w:rFonts w:ascii="Calibri" w:hAnsi="Calibri"/>
    </w:rPr>
  </w:style>
  <w:style w:type="character" w:customStyle="1" w:styleId="14">
    <w:name w:val="批注文字 Char"/>
    <w:basedOn w:val="8"/>
    <w:link w:val="2"/>
    <w:semiHidden/>
    <w:qFormat/>
    <w:uiPriority w:val="99"/>
  </w:style>
  <w:style w:type="character" w:customStyle="1" w:styleId="15">
    <w:name w:val="批注主题 Char"/>
    <w:basedOn w:val="14"/>
    <w:link w:val="6"/>
    <w:semiHidden/>
    <w:qFormat/>
    <w:uiPriority w:val="99"/>
    <w:rPr>
      <w:b/>
      <w:bCs/>
    </w:rPr>
  </w:style>
  <w:style w:type="character" w:customStyle="1" w:styleId="16">
    <w:name w:val="批注框文本 Char"/>
    <w:basedOn w:val="8"/>
    <w:link w:val="3"/>
    <w:semiHidden/>
    <w:qFormat/>
    <w:uiPriority w:val="99"/>
    <w:rPr>
      <w:sz w:val="18"/>
      <w:szCs w:val="18"/>
    </w:rPr>
  </w:style>
  <w:style w:type="character" w:customStyle="1" w:styleId="17">
    <w:name w:val="font31"/>
    <w:basedOn w:val="8"/>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1639</Words>
  <Characters>1705</Characters>
  <Lines>15</Lines>
  <Paragraphs>4</Paragraphs>
  <TotalTime>1</TotalTime>
  <ScaleCrop>false</ScaleCrop>
  <LinksUpToDate>false</LinksUpToDate>
  <CharactersWithSpaces>1705</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2022-04-23T20:00:00Z</dcterms:created>
  <dc:creator>强文晓</dc:creator>
  <cp:lastModifiedBy>admin</cp:lastModifiedBy>
  <cp:lastPrinted>2022-05-28T07:59:00Z</cp:lastPrinted>
  <dcterms:modified xsi:type="dcterms:W3CDTF">2024-06-24T15:27:18Z</dcterms:modified>
  <dc:title>申请人须知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y fmtid="{D5CDD505-2E9C-101B-9397-08002B2CF9AE}" pid="3" name="ICV">
    <vt:lpwstr>C5C069B44ED14A5184518C148979D706</vt:lpwstr>
  </property>
</Properties>
</file>