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1、合格供应商的条件：</w:t>
      </w:r>
    </w:p>
    <w:p>
      <w:pPr>
        <w:tabs>
          <w:tab w:val="left" w:pos="709"/>
        </w:tabs>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1）在中华人民共和国境内注册，具有本项目实施能力，符合、承认并承诺履行本遴选文件各项规定的供应商。</w:t>
      </w:r>
    </w:p>
    <w:p>
      <w:pPr>
        <w:tabs>
          <w:tab w:val="left" w:pos="709"/>
        </w:tabs>
        <w:spacing w:line="360" w:lineRule="auto"/>
        <w:ind w:firstLine="560" w:firstLineChars="200"/>
        <w:rPr>
          <w:rFonts w:ascii="仿宋" w:hAnsi="仿宋" w:eastAsia="仿宋" w:cs="宋体"/>
          <w:bCs/>
          <w:sz w:val="28"/>
          <w:szCs w:val="28"/>
        </w:rPr>
      </w:pPr>
      <w:r>
        <w:rPr>
          <w:rFonts w:ascii="仿宋" w:hAnsi="仿宋" w:eastAsia="仿宋" w:cs="宋体"/>
          <w:bCs/>
          <w:sz w:val="28"/>
          <w:szCs w:val="28"/>
        </w:rPr>
        <w:t>2</w:t>
      </w:r>
      <w:r>
        <w:rPr>
          <w:rFonts w:hint="eastAsia" w:ascii="仿宋" w:hAnsi="仿宋" w:eastAsia="仿宋" w:cs="宋体"/>
          <w:bCs/>
          <w:sz w:val="28"/>
          <w:szCs w:val="28"/>
        </w:rPr>
        <w:t>）供应商应遵守中华人民共和国有关的国家法律、法规和条例。</w:t>
      </w:r>
    </w:p>
    <w:p>
      <w:pPr>
        <w:tabs>
          <w:tab w:val="left" w:pos="709"/>
        </w:tabs>
        <w:spacing w:line="360" w:lineRule="auto"/>
        <w:ind w:firstLine="560" w:firstLineChars="200"/>
        <w:rPr>
          <w:rFonts w:ascii="仿宋" w:hAnsi="仿宋" w:eastAsia="仿宋" w:cs="宋体"/>
          <w:bCs/>
          <w:sz w:val="28"/>
          <w:szCs w:val="28"/>
        </w:rPr>
      </w:pPr>
      <w:r>
        <w:rPr>
          <w:rFonts w:ascii="仿宋" w:hAnsi="仿宋" w:eastAsia="仿宋" w:cs="宋体"/>
          <w:bCs/>
          <w:sz w:val="28"/>
          <w:szCs w:val="28"/>
        </w:rPr>
        <w:t>3</w:t>
      </w:r>
      <w:r>
        <w:rPr>
          <w:rFonts w:hint="eastAsia" w:ascii="仿宋" w:hAnsi="仿宋" w:eastAsia="仿宋" w:cs="宋体"/>
          <w:bCs/>
          <w:sz w:val="28"/>
          <w:szCs w:val="28"/>
        </w:rPr>
        <w:t>）单位负责人为同一人或者报价存在直接控股、管理关系的不同供应商，不得同时参加本项目遴选。违反规定的，相关报价均无效。</w:t>
      </w:r>
    </w:p>
    <w:p>
      <w:pPr>
        <w:tabs>
          <w:tab w:val="left" w:pos="709"/>
        </w:tabs>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4）供应商不得被列入相关部门规定的失信被执行人、重大税收违法案件当事人名单、政府采购严重违法失信行为记录名单。</w:t>
      </w:r>
    </w:p>
    <w:p>
      <w:pPr>
        <w:spacing w:line="360" w:lineRule="auto"/>
        <w:rPr>
          <w:rFonts w:ascii="仿宋" w:hAnsi="仿宋" w:eastAsia="仿宋" w:cs="宋体"/>
          <w:bCs/>
          <w:sz w:val="28"/>
          <w:szCs w:val="28"/>
        </w:rPr>
      </w:pPr>
      <w:r>
        <w:rPr>
          <w:rFonts w:hint="eastAsia" w:ascii="仿宋" w:hAnsi="仿宋" w:eastAsia="仿宋" w:cs="宋体"/>
          <w:bCs/>
          <w:sz w:val="28"/>
          <w:szCs w:val="28"/>
        </w:rPr>
        <w:t>2、遴选响应文件签署和盖章要求：遴选响应文件需打印或用不退色墨水书写，由申请人的法定代表人或其授权代表在遴选文件规定的地方签字，并进行逐页盖章或加盖骑缝章。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3、遴选小组对申请人的遴选响应文件进行商务审查，以确定其是否满足遴选文件的实质性要求，并形成商务审查结果。申请人有任何一项不符合《商务审查表》要求的，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567"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567"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是否为独立法人</w:t>
            </w:r>
          </w:p>
        </w:tc>
      </w:tr>
      <w:tr>
        <w:tblPrEx>
          <w:tblCellMar>
            <w:top w:w="0" w:type="dxa"/>
            <w:left w:w="108" w:type="dxa"/>
            <w:bottom w:w="0" w:type="dxa"/>
            <w:right w:w="108" w:type="dxa"/>
          </w:tblCellMar>
        </w:tblPrEx>
        <w:trPr>
          <w:trHeight w:val="567"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4、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5、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ascii="仿宋" w:hAnsi="仿宋" w:eastAsia="仿宋" w:cs="宋体"/>
          <w:bCs/>
          <w:sz w:val="28"/>
          <w:szCs w:val="28"/>
        </w:rPr>
      </w:pPr>
      <w:r>
        <w:rPr>
          <w:rFonts w:hint="eastAsia" w:ascii="仿宋" w:hAnsi="仿宋" w:eastAsia="仿宋" w:cs="宋体"/>
          <w:bCs/>
          <w:sz w:val="28"/>
          <w:szCs w:val="28"/>
        </w:rPr>
        <w:t>6、如对本项目进行实质性响应的供应商不足2家但大于等于1家时，项目主办处室决定是否继续进行采购活动或延期遴选文件获取时间及递交申请文件时间。如继续进行采购活动，如评审小组按照遴选文件对供应商的申请文件综合打分不足60分时，项目主办处室可以选择本项目废标。</w:t>
      </w:r>
    </w:p>
    <w:p>
      <w:pPr>
        <w:spacing w:line="360" w:lineRule="auto"/>
        <w:rPr>
          <w:rFonts w:ascii="仿宋" w:hAnsi="仿宋" w:eastAsia="仿宋" w:cs="宋体"/>
          <w:bCs/>
          <w:sz w:val="28"/>
          <w:szCs w:val="28"/>
        </w:rPr>
      </w:pPr>
      <w:r>
        <w:rPr>
          <w:rFonts w:hint="eastAsia" w:ascii="仿宋" w:hAnsi="仿宋" w:eastAsia="仿宋" w:cs="宋体"/>
          <w:bCs/>
          <w:sz w:val="28"/>
          <w:szCs w:val="28"/>
        </w:rPr>
        <w:t>7、成交供应商拒绝与采购人签订合同的，采购人可以按照评审报告推荐的成交候选人名单排序，确定下一候选人为成交供应商，也可以重新开展采购活动。</w:t>
      </w:r>
    </w:p>
    <w:p>
      <w:pPr>
        <w:rPr>
          <w:rFonts w:ascii="仿宋" w:hAnsi="仿宋" w:eastAsia="仿宋" w:cs="宋体"/>
          <w:b/>
          <w:bCs/>
          <w:sz w:val="32"/>
          <w:szCs w:val="28"/>
        </w:rPr>
        <w:sectPr>
          <w:pgSz w:w="11906" w:h="16838"/>
          <w:pgMar w:top="1440" w:right="1797" w:bottom="1440" w:left="1797" w:header="851" w:footer="992" w:gutter="0"/>
          <w:cols w:space="720" w:num="1"/>
          <w:docGrid w:type="lines" w:linePitch="312" w:charSpace="0"/>
        </w:sectPr>
      </w:pPr>
    </w:p>
    <w:p>
      <w:pPr>
        <w:keepNext/>
        <w:widowControl/>
        <w:adjustRightInd w:val="0"/>
        <w:snapToGrid w:val="0"/>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117"/>
        <w:gridCol w:w="1729"/>
        <w:gridCol w:w="4326"/>
        <w:gridCol w:w="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序号</w:t>
            </w:r>
          </w:p>
        </w:tc>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内</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容</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评分</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项目</w:t>
            </w:r>
          </w:p>
        </w:tc>
        <w:tc>
          <w:tcPr>
            <w:tcW w:w="4326"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评分</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标准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0" w:type="auto"/>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价格部分（10分）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价格</w:t>
            </w:r>
          </w:p>
        </w:tc>
        <w:tc>
          <w:tcPr>
            <w:tcW w:w="4326" w:type="dxa"/>
            <w:vAlign w:val="center"/>
          </w:tcPr>
          <w:p>
            <w:pPr>
              <w:spacing w:line="300" w:lineRule="exact"/>
              <w:jc w:val="left"/>
              <w:rPr>
                <w:rFonts w:ascii="仿宋" w:hAnsi="仿宋" w:eastAsia="仿宋" w:cs="仿宋"/>
                <w:sz w:val="24"/>
                <w:szCs w:val="24"/>
              </w:rPr>
            </w:pPr>
            <w:r>
              <w:rPr>
                <w:rFonts w:hint="eastAsia" w:ascii="仿宋" w:hAnsi="仿宋" w:eastAsia="仿宋" w:cs="仿宋"/>
                <w:sz w:val="24"/>
                <w:szCs w:val="24"/>
              </w:rPr>
              <w:t>报价得分=（评标基准价/报价）×价格权值×100</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2</w:t>
            </w:r>
          </w:p>
        </w:tc>
        <w:tc>
          <w:tcPr>
            <w:tcW w:w="1117" w:type="dxa"/>
            <w:vMerge w:val="restart"/>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商务</w:t>
            </w:r>
          </w:p>
          <w:p>
            <w:pPr>
              <w:widowControl/>
              <w:jc w:val="left"/>
              <w:rPr>
                <w:rFonts w:ascii="仿宋" w:hAnsi="仿宋" w:eastAsia="仿宋" w:cs="仿宋"/>
                <w:kern w:val="0"/>
                <w:sz w:val="24"/>
                <w:szCs w:val="24"/>
              </w:rPr>
            </w:pPr>
            <w:r>
              <w:rPr>
                <w:rFonts w:hint="eastAsia" w:ascii="仿宋" w:hAnsi="仿宋" w:eastAsia="仿宋" w:cs="仿宋"/>
                <w:kern w:val="0"/>
                <w:sz w:val="24"/>
                <w:szCs w:val="24"/>
              </w:rPr>
              <w:t>（30分）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供应商业绩</w:t>
            </w:r>
          </w:p>
        </w:tc>
        <w:tc>
          <w:tcPr>
            <w:tcW w:w="4326" w:type="dxa"/>
            <w:vAlign w:val="center"/>
          </w:tcPr>
          <w:p>
            <w:pPr>
              <w:spacing w:line="300" w:lineRule="exact"/>
              <w:rPr>
                <w:rFonts w:ascii="仿宋" w:hAnsi="仿宋" w:eastAsia="仿宋" w:cs="仿宋"/>
                <w:sz w:val="24"/>
                <w:szCs w:val="24"/>
              </w:rPr>
            </w:pPr>
            <w:r>
              <w:rPr>
                <w:rFonts w:hint="eastAsia" w:ascii="仿宋" w:hAnsi="仿宋" w:eastAsia="仿宋" w:cs="仿宋"/>
                <w:sz w:val="24"/>
                <w:szCs w:val="24"/>
              </w:rPr>
              <w:t>具有与本项目类似老年人心理关爱及认知促进相关的项目经验：</w:t>
            </w:r>
          </w:p>
          <w:p>
            <w:pPr>
              <w:spacing w:line="300" w:lineRule="exact"/>
              <w:rPr>
                <w:rFonts w:ascii="仿宋" w:hAnsi="仿宋" w:eastAsia="仿宋" w:cs="仿宋"/>
                <w:sz w:val="24"/>
                <w:szCs w:val="24"/>
              </w:rPr>
            </w:pPr>
            <w:r>
              <w:rPr>
                <w:rFonts w:hint="eastAsia" w:ascii="仿宋" w:hAnsi="仿宋" w:eastAsia="仿宋" w:cs="仿宋"/>
                <w:sz w:val="24"/>
                <w:szCs w:val="24"/>
              </w:rPr>
              <w:t>每提供一项得</w:t>
            </w:r>
            <w:r>
              <w:rPr>
                <w:rFonts w:hint="eastAsia" w:ascii="仿宋" w:hAnsi="仿宋" w:eastAsia="仿宋" w:cs="仿宋"/>
                <w:sz w:val="24"/>
                <w:szCs w:val="24"/>
                <w:lang w:val="en-US" w:eastAsia="zh-CN"/>
              </w:rPr>
              <w:t>5</w:t>
            </w:r>
            <w:r>
              <w:rPr>
                <w:rFonts w:hint="eastAsia" w:ascii="仿宋" w:hAnsi="仿宋" w:eastAsia="仿宋" w:cs="仿宋"/>
                <w:sz w:val="24"/>
                <w:szCs w:val="24"/>
              </w:rPr>
              <w:t>分，最多得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pPr>
              <w:widowControl/>
              <w:jc w:val="left"/>
              <w:rPr>
                <w:rFonts w:ascii="仿宋" w:hAnsi="仿宋" w:eastAsia="仿宋" w:cs="仿宋"/>
                <w:color w:val="000000"/>
                <w:kern w:val="0"/>
                <w:sz w:val="24"/>
                <w:szCs w:val="24"/>
              </w:rPr>
            </w:pPr>
            <w:r>
              <w:rPr>
                <w:rFonts w:hint="eastAsia" w:ascii="仿宋" w:hAnsi="仿宋" w:eastAsia="仿宋" w:cs="仿宋"/>
                <w:sz w:val="24"/>
                <w:szCs w:val="24"/>
              </w:rPr>
              <w:t>（需要提供合同、协议等证明资料）</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3</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项目人员情况</w:t>
            </w:r>
          </w:p>
        </w:tc>
        <w:tc>
          <w:tcPr>
            <w:tcW w:w="4326" w:type="dxa"/>
            <w:vAlign w:val="center"/>
          </w:tcPr>
          <w:p>
            <w:pPr>
              <w:widowControl/>
              <w:spacing w:line="300" w:lineRule="exact"/>
              <w:rPr>
                <w:rFonts w:ascii="仿宋" w:hAnsi="仿宋" w:eastAsia="仿宋" w:cs="仿宋"/>
                <w:sz w:val="24"/>
                <w:szCs w:val="24"/>
              </w:rPr>
            </w:pPr>
            <w:r>
              <w:rPr>
                <w:rFonts w:hint="eastAsia" w:ascii="仿宋" w:hAnsi="仿宋" w:eastAsia="仿宋" w:cs="仿宋"/>
                <w:sz w:val="24"/>
                <w:szCs w:val="24"/>
              </w:rPr>
              <w:t>拟投入本项目团队主要成员情况，需涵盖医学、心理学、计算机科学、统计学领域、生命科学的多学科背景</w:t>
            </w:r>
            <w:r>
              <w:rPr>
                <w:rFonts w:hint="eastAsia" w:ascii="仿宋" w:hAnsi="仿宋" w:eastAsia="仿宋" w:cs="仿宋"/>
                <w:sz w:val="24"/>
                <w:szCs w:val="24"/>
                <w:lang w:eastAsia="zh-CN"/>
              </w:rPr>
              <w:t>，</w:t>
            </w:r>
            <w:r>
              <w:rPr>
                <w:rFonts w:hint="eastAsia" w:ascii="仿宋" w:hAnsi="仿宋" w:eastAsia="仿宋" w:cs="仿宋"/>
                <w:sz w:val="24"/>
                <w:szCs w:val="24"/>
              </w:rPr>
              <w:t>提供人员名册，并提供保证后续参与该项工作：</w:t>
            </w:r>
          </w:p>
          <w:p>
            <w:pPr>
              <w:widowControl/>
              <w:numPr>
                <w:ilvl w:val="0"/>
                <w:numId w:val="1"/>
              </w:numPr>
              <w:adjustRightInd/>
              <w:snapToGrid/>
              <w:spacing w:line="300" w:lineRule="exact"/>
              <w:ind w:left="0" w:hanging="240" w:hangingChars="100"/>
              <w:jc w:val="left"/>
              <w:rPr>
                <w:rFonts w:ascii="仿宋" w:hAnsi="仿宋" w:eastAsia="仿宋" w:cs="仿宋"/>
                <w:sz w:val="24"/>
                <w:szCs w:val="24"/>
              </w:rPr>
            </w:pPr>
            <w:r>
              <w:rPr>
                <w:rFonts w:hint="eastAsia" w:ascii="仿宋" w:hAnsi="仿宋" w:eastAsia="仿宋" w:cs="仿宋"/>
                <w:sz w:val="24"/>
                <w:szCs w:val="24"/>
              </w:rPr>
              <w:t>最优得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pPr>
              <w:widowControl/>
              <w:numPr>
                <w:ilvl w:val="0"/>
                <w:numId w:val="1"/>
              </w:numPr>
              <w:adjustRightInd/>
              <w:snapToGrid/>
              <w:spacing w:line="300" w:lineRule="exact"/>
              <w:ind w:left="0" w:hanging="240" w:hangingChars="100"/>
              <w:jc w:val="left"/>
              <w:rPr>
                <w:rFonts w:ascii="仿宋" w:hAnsi="仿宋" w:eastAsia="仿宋" w:cs="仿宋"/>
                <w:sz w:val="24"/>
                <w:szCs w:val="24"/>
              </w:rPr>
            </w:pPr>
            <w:r>
              <w:rPr>
                <w:rFonts w:hint="eastAsia" w:ascii="仿宋" w:hAnsi="仿宋" w:eastAsia="仿宋" w:cs="仿宋"/>
                <w:sz w:val="24"/>
                <w:szCs w:val="24"/>
              </w:rPr>
              <w:t>一般得</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p>
            <w:pPr>
              <w:widowControl/>
              <w:jc w:val="left"/>
              <w:rPr>
                <w:rFonts w:ascii="仿宋" w:hAnsi="仿宋" w:eastAsia="仿宋" w:cs="仿宋"/>
                <w:color w:val="000000"/>
                <w:kern w:val="0"/>
                <w:sz w:val="24"/>
                <w:szCs w:val="24"/>
              </w:rPr>
            </w:pPr>
            <w:r>
              <w:rPr>
                <w:rFonts w:hint="eastAsia" w:ascii="仿宋" w:hAnsi="仿宋" w:eastAsia="仿宋" w:cs="仿宋"/>
                <w:sz w:val="24"/>
                <w:szCs w:val="24"/>
              </w:rPr>
              <w:t>较差得0分。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4</w:t>
            </w:r>
          </w:p>
        </w:tc>
        <w:tc>
          <w:tcPr>
            <w:tcW w:w="1117" w:type="dxa"/>
            <w:vMerge w:val="restart"/>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rPr>
              <w:t>技术</w:t>
            </w:r>
          </w:p>
          <w:p>
            <w:pPr>
              <w:widowControl/>
              <w:jc w:val="center"/>
              <w:rPr>
                <w:rFonts w:ascii="仿宋" w:hAnsi="仿宋" w:eastAsia="仿宋" w:cs="仿宋"/>
                <w:kern w:val="0"/>
                <w:sz w:val="24"/>
                <w:szCs w:val="24"/>
              </w:rPr>
            </w:pPr>
            <w:r>
              <w:rPr>
                <w:rFonts w:hint="eastAsia" w:ascii="仿宋" w:hAnsi="仿宋" w:eastAsia="仿宋" w:cs="仿宋"/>
                <w:kern w:val="0"/>
                <w:sz w:val="24"/>
                <w:szCs w:val="24"/>
              </w:rPr>
              <w:t>（60分）</w:t>
            </w: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心理健康调查工具平台</w:t>
            </w:r>
          </w:p>
        </w:tc>
        <w:tc>
          <w:tcPr>
            <w:tcW w:w="4326" w:type="dxa"/>
            <w:vAlign w:val="center"/>
          </w:tcPr>
          <w:p>
            <w:pPr>
              <w:widowControl/>
              <w:numPr>
                <w:ilvl w:val="-1"/>
                <w:numId w:val="0"/>
              </w:numPr>
              <w:spacing w:line="300" w:lineRule="exact"/>
              <w:jc w:val="left"/>
              <w:rPr>
                <w:rFonts w:ascii="仿宋" w:hAnsi="仿宋" w:eastAsia="仿宋" w:cs="仿宋"/>
                <w:sz w:val="24"/>
                <w:szCs w:val="24"/>
              </w:rPr>
            </w:pPr>
            <w:r>
              <w:rPr>
                <w:rFonts w:hint="eastAsia" w:ascii="仿宋" w:hAnsi="仿宋" w:eastAsia="仿宋" w:cs="仿宋"/>
                <w:sz w:val="24"/>
                <w:szCs w:val="24"/>
                <w:lang w:val="en-US" w:eastAsia="zh-CN"/>
              </w:rPr>
              <w:t>具备</w:t>
            </w:r>
            <w:r>
              <w:rPr>
                <w:rFonts w:hint="eastAsia" w:ascii="仿宋" w:hAnsi="仿宋" w:eastAsia="仿宋" w:cs="仿宋"/>
                <w:sz w:val="24"/>
                <w:szCs w:val="24"/>
              </w:rPr>
              <w:t>可满足老年心理健康调查服务需求</w:t>
            </w:r>
            <w:r>
              <w:rPr>
                <w:rFonts w:hint="eastAsia" w:ascii="仿宋" w:hAnsi="仿宋" w:eastAsia="仿宋" w:cs="仿宋"/>
                <w:sz w:val="24"/>
                <w:szCs w:val="24"/>
                <w:lang w:val="en-US" w:eastAsia="zh-CN"/>
              </w:rPr>
              <w:t>的心理健康调查工具平台</w:t>
            </w:r>
            <w:r>
              <w:rPr>
                <w:rFonts w:hint="eastAsia" w:ascii="仿宋" w:hAnsi="仿宋" w:eastAsia="仿宋" w:cs="仿宋"/>
                <w:sz w:val="24"/>
                <w:szCs w:val="24"/>
              </w:rPr>
              <w:t>：</w:t>
            </w:r>
          </w:p>
          <w:p>
            <w:pPr>
              <w:widowControl/>
              <w:numPr>
                <w:ilvl w:val="0"/>
                <w:numId w:val="1"/>
              </w:numPr>
              <w:adjustRightInd/>
              <w:snapToGrid/>
              <w:spacing w:line="300" w:lineRule="exact"/>
              <w:ind w:left="0" w:hanging="240" w:hangingChars="100"/>
              <w:jc w:val="left"/>
              <w:rPr>
                <w:rFonts w:ascii="仿宋" w:hAnsi="仿宋" w:eastAsia="仿宋" w:cs="仿宋"/>
                <w:sz w:val="24"/>
                <w:szCs w:val="24"/>
              </w:rPr>
            </w:pPr>
            <w:r>
              <w:rPr>
                <w:rFonts w:hint="eastAsia" w:ascii="仿宋" w:hAnsi="仿宋" w:eastAsia="仿宋" w:cs="仿宋"/>
                <w:sz w:val="24"/>
                <w:szCs w:val="24"/>
              </w:rPr>
              <w:t>能即刻投入项目使用，并且对老年人抑郁症状、焦虑症状、认知功能进行客观量化评估，并自动出具评估报告，得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pPr>
              <w:widowControl/>
              <w:numPr>
                <w:ilvl w:val="0"/>
                <w:numId w:val="1"/>
              </w:numPr>
              <w:adjustRightInd/>
              <w:snapToGrid/>
              <w:spacing w:line="300" w:lineRule="exact"/>
              <w:ind w:left="0" w:hanging="240" w:hangingChars="100"/>
              <w:jc w:val="left"/>
              <w:rPr>
                <w:rFonts w:ascii="仿宋" w:hAnsi="仿宋" w:eastAsia="仿宋" w:cs="仿宋"/>
                <w:sz w:val="24"/>
                <w:szCs w:val="24"/>
              </w:rPr>
            </w:pPr>
            <w:r>
              <w:rPr>
                <w:rFonts w:hint="eastAsia" w:ascii="仿宋" w:hAnsi="仿宋" w:eastAsia="仿宋" w:cs="仿宋"/>
                <w:sz w:val="24"/>
                <w:szCs w:val="24"/>
              </w:rPr>
              <w:t>平台不能即刻投入项目使用但明确可投入项目使用时间节点，或者平台不能自动出具评估报告，得</w:t>
            </w:r>
            <w:r>
              <w:rPr>
                <w:rFonts w:hint="eastAsia" w:ascii="仿宋" w:hAnsi="仿宋" w:eastAsia="仿宋" w:cs="仿宋"/>
                <w:sz w:val="24"/>
                <w:szCs w:val="24"/>
                <w:lang w:val="en-US" w:eastAsia="zh-CN"/>
              </w:rPr>
              <w:t>7</w:t>
            </w:r>
            <w:r>
              <w:rPr>
                <w:rFonts w:hint="eastAsia" w:ascii="仿宋" w:hAnsi="仿宋" w:eastAsia="仿宋" w:cs="仿宋"/>
                <w:sz w:val="24"/>
                <w:szCs w:val="24"/>
              </w:rPr>
              <w:t>分；</w:t>
            </w:r>
          </w:p>
          <w:p>
            <w:pPr>
              <w:widowControl/>
              <w:numPr>
                <w:ilvl w:val="-1"/>
                <w:numId w:val="0"/>
              </w:numPr>
              <w:adjustRightInd/>
              <w:snapToGrid/>
              <w:spacing w:line="300" w:lineRule="exact"/>
              <w:ind w:left="0" w:leftChars="0" w:firstLine="0" w:firstLineChars="0"/>
              <w:jc w:val="left"/>
              <w:rPr>
                <w:rFonts w:ascii="仿宋" w:hAnsi="仿宋" w:eastAsia="仿宋" w:cs="仿宋"/>
                <w:sz w:val="24"/>
                <w:szCs w:val="24"/>
              </w:rPr>
            </w:pPr>
            <w:r>
              <w:rPr>
                <w:rFonts w:hint="eastAsia" w:ascii="仿宋" w:hAnsi="仿宋" w:eastAsia="仿宋" w:cs="仿宋"/>
                <w:sz w:val="24"/>
                <w:szCs w:val="24"/>
              </w:rPr>
              <w:t>平台不成熟也未明确可投入项目使用时间节点，并且平台不能自动出具评估报告，得0分。</w:t>
            </w:r>
          </w:p>
          <w:p>
            <w:pPr>
              <w:widowControl/>
              <w:numPr>
                <w:ilvl w:val="-1"/>
                <w:numId w:val="0"/>
              </w:numPr>
              <w:adjustRightInd/>
              <w:snapToGrid/>
              <w:spacing w:line="300" w:lineRule="exact"/>
              <w:ind w:left="0" w:leftChars="0" w:firstLine="0" w:firstLineChars="0"/>
              <w:jc w:val="left"/>
              <w:rPr>
                <w:rFonts w:ascii="仿宋" w:hAnsi="仿宋" w:eastAsia="仿宋" w:cs="仿宋"/>
                <w:color w:val="000000"/>
                <w:kern w:val="0"/>
                <w:sz w:val="24"/>
                <w:szCs w:val="24"/>
              </w:rPr>
            </w:pPr>
            <w:r>
              <w:rPr>
                <w:rFonts w:hint="eastAsia" w:ascii="仿宋" w:hAnsi="仿宋" w:eastAsia="仿宋" w:cs="仿宋"/>
                <w:sz w:val="24"/>
                <w:szCs w:val="24"/>
              </w:rPr>
              <w:t>（需要提供心理健康调查工具平台的真实界面截图及平台功能介绍，未提供者不得分）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5</w:t>
            </w:r>
          </w:p>
        </w:tc>
        <w:tc>
          <w:tcPr>
            <w:tcW w:w="1117" w:type="dxa"/>
            <w:vMerge w:val="continue"/>
            <w:vAlign w:val="center"/>
          </w:tcPr>
          <w:p>
            <w:pPr>
              <w:widowControl/>
              <w:jc w:val="center"/>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心理健康问题与认知异常干预方案</w:t>
            </w:r>
          </w:p>
        </w:tc>
        <w:tc>
          <w:tcPr>
            <w:tcW w:w="4326" w:type="dxa"/>
            <w:vAlign w:val="center"/>
          </w:tcPr>
          <w:p>
            <w:pPr>
              <w:widowControl/>
              <w:spacing w:line="300" w:lineRule="exact"/>
              <w:rPr>
                <w:rFonts w:ascii="仿宋" w:hAnsi="仿宋" w:eastAsia="仿宋" w:cs="仿宋"/>
                <w:sz w:val="24"/>
                <w:szCs w:val="24"/>
              </w:rPr>
            </w:pPr>
            <w:r>
              <w:rPr>
                <w:rFonts w:hint="eastAsia" w:ascii="仿宋" w:hAnsi="仿宋" w:eastAsia="仿宋" w:cs="仿宋"/>
                <w:sz w:val="24"/>
                <w:szCs w:val="24"/>
              </w:rPr>
              <w:t>心理健康问题与认知异常干预方案具有针对性和综合性：</w:t>
            </w:r>
          </w:p>
          <w:p>
            <w:pPr>
              <w:widowControl/>
              <w:numPr>
                <w:ilvl w:val="0"/>
                <w:numId w:val="1"/>
              </w:numPr>
              <w:adjustRightInd/>
              <w:snapToGrid/>
              <w:spacing w:line="300" w:lineRule="exact"/>
              <w:ind w:left="0" w:hanging="240" w:hangingChars="100"/>
              <w:jc w:val="left"/>
              <w:rPr>
                <w:rFonts w:ascii="仿宋" w:hAnsi="仿宋" w:eastAsia="仿宋" w:cs="仿宋"/>
                <w:sz w:val="24"/>
                <w:szCs w:val="24"/>
              </w:rPr>
            </w:pPr>
            <w:r>
              <w:rPr>
                <w:rFonts w:hint="eastAsia" w:ascii="仿宋" w:hAnsi="仿宋" w:eastAsia="仿宋" w:cs="仿宋"/>
                <w:sz w:val="24"/>
                <w:szCs w:val="24"/>
              </w:rPr>
              <w:t>能根据老年人心理健康评估结果提供针对性的干预策略，并从认知功能、情绪调节、饮食、睡眠、运动等方面提供多维度综合管理方案，得1</w:t>
            </w:r>
            <w:r>
              <w:rPr>
                <w:rFonts w:hint="eastAsia" w:ascii="仿宋" w:hAnsi="仿宋" w:eastAsia="仿宋" w:cs="仿宋"/>
                <w:sz w:val="24"/>
                <w:szCs w:val="24"/>
                <w:lang w:val="en-US" w:eastAsia="zh-CN"/>
              </w:rPr>
              <w:t>5</w:t>
            </w:r>
            <w:r>
              <w:rPr>
                <w:rFonts w:hint="eastAsia" w:ascii="仿宋" w:hAnsi="仿宋" w:eastAsia="仿宋" w:cs="仿宋"/>
                <w:sz w:val="24"/>
                <w:szCs w:val="24"/>
              </w:rPr>
              <w:t>分；</w:t>
            </w:r>
          </w:p>
          <w:p>
            <w:pPr>
              <w:widowControl/>
              <w:numPr>
                <w:ilvl w:val="0"/>
                <w:numId w:val="1"/>
              </w:numPr>
              <w:adjustRightInd/>
              <w:snapToGrid/>
              <w:spacing w:line="300" w:lineRule="exact"/>
              <w:ind w:left="0" w:hanging="240" w:hangingChars="100"/>
              <w:jc w:val="left"/>
              <w:rPr>
                <w:rFonts w:ascii="仿宋" w:hAnsi="仿宋" w:eastAsia="仿宋" w:cs="仿宋"/>
                <w:sz w:val="24"/>
                <w:szCs w:val="24"/>
              </w:rPr>
            </w:pPr>
            <w:r>
              <w:rPr>
                <w:rFonts w:hint="eastAsia" w:ascii="仿宋" w:hAnsi="仿宋" w:eastAsia="仿宋" w:cs="仿宋"/>
                <w:sz w:val="24"/>
                <w:szCs w:val="24"/>
              </w:rPr>
              <w:t>不能根据老年人心理健康评估结果提供针对性的干预策略，或者干预策略不包含多维度综合管理方案，得7分；</w:t>
            </w:r>
          </w:p>
          <w:p>
            <w:pPr>
              <w:widowControl/>
              <w:jc w:val="left"/>
              <w:rPr>
                <w:rFonts w:ascii="仿宋" w:hAnsi="仿宋" w:eastAsia="仿宋" w:cs="仿宋"/>
                <w:color w:val="000000"/>
                <w:kern w:val="0"/>
                <w:sz w:val="24"/>
                <w:szCs w:val="24"/>
              </w:rPr>
            </w:pPr>
            <w:r>
              <w:rPr>
                <w:rFonts w:hint="eastAsia" w:ascii="仿宋" w:hAnsi="仿宋" w:eastAsia="仿宋" w:cs="仿宋"/>
                <w:sz w:val="24"/>
                <w:szCs w:val="24"/>
              </w:rPr>
              <w:t>不能根据老年人心理健康评估结果提供针对性的干预策略，并且干预策略不包含多维度综合管理方案，得0分。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6</w:t>
            </w:r>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服务承诺及数据安全性</w:t>
            </w:r>
          </w:p>
        </w:tc>
        <w:tc>
          <w:tcPr>
            <w:tcW w:w="4326" w:type="dxa"/>
            <w:vAlign w:val="center"/>
          </w:tcPr>
          <w:p>
            <w:pPr>
              <w:widowControl/>
              <w:numPr>
                <w:ilvl w:val="0"/>
                <w:numId w:val="0"/>
              </w:numPr>
              <w:spacing w:line="300" w:lineRule="exact"/>
              <w:ind w:leftChars="0"/>
              <w:jc w:val="left"/>
              <w:rPr>
                <w:rFonts w:ascii="仿宋" w:hAnsi="仿宋" w:eastAsia="仿宋" w:cs="仿宋"/>
                <w:sz w:val="24"/>
                <w:szCs w:val="24"/>
              </w:rPr>
            </w:pPr>
            <w:r>
              <w:rPr>
                <w:rFonts w:hint="eastAsia" w:ascii="仿宋" w:hAnsi="仿宋" w:eastAsia="仿宋" w:cs="仿宋"/>
                <w:sz w:val="24"/>
                <w:szCs w:val="24"/>
              </w:rPr>
              <w:t>服务范围</w:t>
            </w:r>
            <w:r>
              <w:rPr>
                <w:rFonts w:hint="eastAsia" w:ascii="仿宋" w:hAnsi="仿宋" w:eastAsia="仿宋" w:cs="仿宋"/>
                <w:sz w:val="24"/>
                <w:szCs w:val="24"/>
                <w:lang w:val="en-US" w:eastAsia="zh-CN"/>
              </w:rPr>
              <w:t>及数据安全性</w:t>
            </w:r>
            <w:r>
              <w:rPr>
                <w:rFonts w:hint="eastAsia" w:ascii="仿宋" w:hAnsi="仿宋" w:eastAsia="仿宋" w:cs="仿宋"/>
                <w:sz w:val="24"/>
                <w:szCs w:val="24"/>
              </w:rPr>
              <w:t>承诺：</w:t>
            </w:r>
          </w:p>
          <w:p>
            <w:pPr>
              <w:widowControl/>
              <w:numPr>
                <w:ilvl w:val="0"/>
                <w:numId w:val="1"/>
              </w:numPr>
              <w:adjustRightInd/>
              <w:snapToGrid/>
              <w:spacing w:line="300" w:lineRule="exact"/>
              <w:ind w:left="0" w:hanging="240" w:hangingChars="100"/>
              <w:jc w:val="left"/>
              <w:rPr>
                <w:rFonts w:ascii="仿宋" w:hAnsi="仿宋" w:eastAsia="仿宋" w:cs="仿宋"/>
                <w:sz w:val="24"/>
                <w:szCs w:val="24"/>
              </w:rPr>
            </w:pPr>
            <w:r>
              <w:rPr>
                <w:rFonts w:hint="eastAsia" w:ascii="仿宋" w:hAnsi="仿宋" w:eastAsia="仿宋" w:cs="仿宋"/>
                <w:sz w:val="24"/>
                <w:szCs w:val="24"/>
                <w:lang w:val="en-US" w:eastAsia="zh-CN"/>
              </w:rPr>
              <w:t>能够提供</w:t>
            </w:r>
            <w:r>
              <w:rPr>
                <w:rFonts w:hint="eastAsia" w:ascii="仿宋" w:hAnsi="仿宋" w:eastAsia="仿宋" w:cs="仿宋"/>
                <w:sz w:val="24"/>
                <w:szCs w:val="24"/>
              </w:rPr>
              <w:t>项目具体的</w:t>
            </w:r>
            <w:r>
              <w:rPr>
                <w:rFonts w:hint="eastAsia" w:ascii="仿宋" w:hAnsi="仿宋" w:eastAsia="仿宋" w:cs="仿宋"/>
                <w:sz w:val="24"/>
                <w:szCs w:val="24"/>
                <w:lang w:val="en-US" w:eastAsia="zh-CN"/>
              </w:rPr>
              <w:t>服务范围且具有数据安全性保护承诺及措施，</w:t>
            </w:r>
            <w:r>
              <w:rPr>
                <w:rFonts w:hint="eastAsia" w:ascii="仿宋" w:hAnsi="仿宋" w:eastAsia="仿宋" w:cs="仿宋"/>
                <w:sz w:val="24"/>
                <w:szCs w:val="24"/>
              </w:rPr>
              <w:t>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pPr>
              <w:widowControl/>
              <w:numPr>
                <w:ilvl w:val="0"/>
                <w:numId w:val="1"/>
              </w:numPr>
              <w:adjustRightInd/>
              <w:snapToGrid/>
              <w:spacing w:line="300" w:lineRule="exact"/>
              <w:ind w:left="0" w:hanging="240" w:hangingChars="100"/>
              <w:jc w:val="left"/>
              <w:rPr>
                <w:rFonts w:ascii="仿宋" w:hAnsi="仿宋" w:eastAsia="仿宋" w:cs="仿宋"/>
                <w:sz w:val="24"/>
                <w:szCs w:val="24"/>
              </w:rPr>
            </w:pPr>
            <w:r>
              <w:rPr>
                <w:rFonts w:hint="eastAsia" w:ascii="仿宋" w:hAnsi="仿宋" w:eastAsia="仿宋" w:cs="仿宋"/>
                <w:sz w:val="24"/>
                <w:szCs w:val="24"/>
                <w:lang w:val="en-US" w:eastAsia="zh-CN"/>
              </w:rPr>
              <w:t>不能提供项目具体的服务范围或数据安全性承诺及措施不全面，得7分；</w:t>
            </w:r>
          </w:p>
          <w:p>
            <w:pPr>
              <w:widowControl/>
              <w:numPr>
                <w:ilvl w:val="0"/>
                <w:numId w:val="0"/>
              </w:numPr>
              <w:spacing w:line="300" w:lineRule="exact"/>
              <w:ind w:leftChars="0"/>
              <w:jc w:val="left"/>
              <w:rPr>
                <w:rFonts w:ascii="仿宋" w:hAnsi="仿宋" w:eastAsia="仿宋" w:cs="仿宋"/>
                <w:color w:val="000000"/>
                <w:kern w:val="0"/>
                <w:sz w:val="24"/>
                <w:szCs w:val="24"/>
              </w:rPr>
            </w:pPr>
            <w:r>
              <w:rPr>
                <w:rFonts w:hint="eastAsia" w:ascii="仿宋" w:hAnsi="仿宋" w:eastAsia="仿宋" w:cs="仿宋"/>
                <w:sz w:val="24"/>
                <w:szCs w:val="24"/>
                <w:lang w:val="en-US" w:eastAsia="zh-CN"/>
              </w:rPr>
              <w:t>不能提供项目具体的服务范围和数据安全性承诺</w:t>
            </w:r>
            <w:r>
              <w:rPr>
                <w:rFonts w:hint="eastAsia" w:ascii="仿宋" w:hAnsi="仿宋" w:eastAsia="仿宋" w:cs="仿宋"/>
                <w:sz w:val="24"/>
                <w:szCs w:val="24"/>
              </w:rPr>
              <w:t>，得 0 分。</w:t>
            </w: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7</w:t>
            </w:r>
            <w:bookmarkStart w:id="0" w:name="_GoBack"/>
            <w:bookmarkEnd w:id="0"/>
          </w:p>
        </w:tc>
        <w:tc>
          <w:tcPr>
            <w:tcW w:w="1117" w:type="dxa"/>
            <w:vMerge w:val="continue"/>
            <w:vAlign w:val="center"/>
          </w:tcPr>
          <w:p>
            <w:pPr>
              <w:widowControl/>
              <w:jc w:val="left"/>
              <w:rPr>
                <w:rFonts w:ascii="仿宋" w:hAnsi="仿宋" w:eastAsia="仿宋" w:cs="仿宋"/>
                <w:kern w:val="0"/>
                <w:sz w:val="24"/>
                <w:szCs w:val="24"/>
              </w:rPr>
            </w:pPr>
          </w:p>
        </w:tc>
        <w:tc>
          <w:tcPr>
            <w:tcW w:w="1729"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rPr>
              <w:t>技术优势</w:t>
            </w:r>
          </w:p>
        </w:tc>
        <w:tc>
          <w:tcPr>
            <w:tcW w:w="4326" w:type="dxa"/>
            <w:vAlign w:val="center"/>
          </w:tcPr>
          <w:p>
            <w:pPr>
              <w:spacing w:line="300" w:lineRule="exact"/>
              <w:rPr>
                <w:rFonts w:ascii="仿宋" w:hAnsi="仿宋" w:eastAsia="仿宋" w:cs="仿宋"/>
                <w:sz w:val="24"/>
                <w:szCs w:val="24"/>
              </w:rPr>
            </w:pPr>
            <w:r>
              <w:rPr>
                <w:rFonts w:hint="eastAsia" w:ascii="仿宋" w:hAnsi="仿宋" w:eastAsia="仿宋" w:cs="仿宋"/>
                <w:sz w:val="24"/>
                <w:szCs w:val="24"/>
              </w:rPr>
              <w:t>具有与本项目所需老年人认知及心理健康评估相关的研发、技术等相关的公开成果支撑：</w:t>
            </w:r>
          </w:p>
          <w:p>
            <w:pPr>
              <w:widowControl/>
              <w:spacing w:line="300" w:lineRule="exact"/>
              <w:rPr>
                <w:rFonts w:ascii="仿宋" w:hAnsi="仿宋" w:eastAsia="仿宋" w:cs="仿宋"/>
                <w:sz w:val="24"/>
                <w:szCs w:val="24"/>
              </w:rPr>
            </w:pPr>
            <w:r>
              <w:rPr>
                <w:rFonts w:hint="eastAsia" w:ascii="仿宋" w:hAnsi="仿宋" w:eastAsia="仿宋" w:cs="仿宋"/>
                <w:sz w:val="24"/>
                <w:szCs w:val="24"/>
              </w:rPr>
              <w:t>每提供一项得</w:t>
            </w:r>
            <w:r>
              <w:rPr>
                <w:rFonts w:hint="eastAsia" w:ascii="仿宋" w:hAnsi="仿宋" w:eastAsia="仿宋" w:cs="仿宋"/>
                <w:sz w:val="24"/>
                <w:szCs w:val="24"/>
                <w:lang w:val="en-US" w:eastAsia="zh-CN"/>
              </w:rPr>
              <w:t>5</w:t>
            </w:r>
            <w:r>
              <w:rPr>
                <w:rFonts w:hint="eastAsia" w:ascii="仿宋" w:hAnsi="仿宋" w:eastAsia="仿宋" w:cs="仿宋"/>
                <w:sz w:val="24"/>
                <w:szCs w:val="24"/>
              </w:rPr>
              <w:t>分，最多得</w:t>
            </w:r>
            <w:r>
              <w:rPr>
                <w:rFonts w:hint="eastAsia" w:ascii="仿宋" w:hAnsi="仿宋" w:eastAsia="仿宋" w:cs="仿宋"/>
                <w:sz w:val="24"/>
                <w:szCs w:val="24"/>
                <w:lang w:val="en-US" w:eastAsia="zh-CN"/>
              </w:rPr>
              <w:t>15</w:t>
            </w:r>
            <w:r>
              <w:rPr>
                <w:rFonts w:hint="eastAsia" w:ascii="仿宋" w:hAnsi="仿宋" w:eastAsia="仿宋" w:cs="仿宋"/>
                <w:sz w:val="24"/>
                <w:szCs w:val="24"/>
              </w:rPr>
              <w:t>分。</w:t>
            </w:r>
          </w:p>
          <w:p>
            <w:pPr>
              <w:spacing w:line="300" w:lineRule="exact"/>
              <w:rPr>
                <w:rFonts w:ascii="仿宋" w:hAnsi="仿宋" w:eastAsia="仿宋" w:cs="仿宋"/>
                <w:sz w:val="24"/>
                <w:szCs w:val="24"/>
              </w:rPr>
            </w:pPr>
            <w:r>
              <w:rPr>
                <w:rFonts w:hint="eastAsia" w:ascii="仿宋" w:hAnsi="仿宋" w:eastAsia="仿宋" w:cs="仿宋"/>
                <w:sz w:val="24"/>
                <w:szCs w:val="24"/>
              </w:rPr>
              <w:t>（需提供相应的书籍封面、论文、软著等）</w:t>
            </w:r>
          </w:p>
          <w:p>
            <w:pPr>
              <w:widowControl/>
              <w:jc w:val="left"/>
              <w:rPr>
                <w:rFonts w:ascii="仿宋" w:hAnsi="仿宋" w:eastAsia="仿宋" w:cs="仿宋"/>
                <w:kern w:val="0"/>
                <w:sz w:val="24"/>
                <w:szCs w:val="24"/>
              </w:rPr>
            </w:pPr>
          </w:p>
        </w:tc>
        <w:tc>
          <w:tcPr>
            <w:tcW w:w="577" w:type="dxa"/>
            <w:vAlign w:val="center"/>
          </w:tcPr>
          <w:p>
            <w:pPr>
              <w:widowControl/>
              <w:jc w:val="center"/>
              <w:rPr>
                <w:rFonts w:ascii="仿宋" w:hAnsi="仿宋" w:eastAsia="仿宋" w:cs="仿宋"/>
                <w:kern w:val="0"/>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9" w:type="dxa"/>
            <w:vAlign w:val="center"/>
          </w:tcPr>
          <w:p>
            <w:pPr>
              <w:widowControl/>
              <w:jc w:val="left"/>
              <w:rPr>
                <w:rFonts w:hint="eastAsia" w:ascii="仿宋" w:hAnsi="仿宋" w:eastAsia="仿宋" w:cs="仿宋"/>
                <w:kern w:val="0"/>
                <w:sz w:val="24"/>
                <w:szCs w:val="24"/>
                <w:lang w:val="en-US" w:eastAsia="zh-CN"/>
              </w:rPr>
            </w:pPr>
          </w:p>
        </w:tc>
        <w:tc>
          <w:tcPr>
            <w:tcW w:w="7172" w:type="dxa"/>
            <w:gridSpan w:val="3"/>
            <w:vAlign w:val="center"/>
          </w:tcPr>
          <w:p>
            <w:pPr>
              <w:widowControl/>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总分</w:t>
            </w:r>
          </w:p>
        </w:tc>
        <w:tc>
          <w:tcPr>
            <w:tcW w:w="577" w:type="dxa"/>
            <w:vAlign w:val="center"/>
          </w:tcPr>
          <w:p>
            <w:pPr>
              <w:widowControl/>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100</w:t>
            </w:r>
          </w:p>
        </w:tc>
      </w:tr>
    </w:tbl>
    <w:p>
      <w:pPr>
        <w:widowControl/>
        <w:jc w:val="left"/>
        <w:rPr>
          <w:rFonts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9D0134"/>
    <w:multiLevelType w:val="multilevel"/>
    <w:tmpl w:val="7B9D013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ytzAzMrI0NrUwMLJQ0lEKTi0uzszPAykwrAUAMw9KnSwAAAA="/>
    <w:docVar w:name="commondata" w:val="eyJoZGlkIjoiNTkwYTE4YWJjNjlmZWJjYTg2NGNkODU2YzdmNGY1YTIifQ=="/>
  </w:docVars>
  <w:rsids>
    <w:rsidRoot w:val="0099485C"/>
    <w:rsid w:val="000A22BF"/>
    <w:rsid w:val="000F5C39"/>
    <w:rsid w:val="00166649"/>
    <w:rsid w:val="00193EAA"/>
    <w:rsid w:val="002813AC"/>
    <w:rsid w:val="00296944"/>
    <w:rsid w:val="002D2684"/>
    <w:rsid w:val="003B2C36"/>
    <w:rsid w:val="003D1C53"/>
    <w:rsid w:val="003D5F9E"/>
    <w:rsid w:val="003E70D5"/>
    <w:rsid w:val="004A674A"/>
    <w:rsid w:val="004D73E0"/>
    <w:rsid w:val="004F644E"/>
    <w:rsid w:val="00504DC9"/>
    <w:rsid w:val="00515BAC"/>
    <w:rsid w:val="006337E9"/>
    <w:rsid w:val="006F7B9A"/>
    <w:rsid w:val="0072607C"/>
    <w:rsid w:val="007456A2"/>
    <w:rsid w:val="00797524"/>
    <w:rsid w:val="007A7660"/>
    <w:rsid w:val="008A2C42"/>
    <w:rsid w:val="0099485C"/>
    <w:rsid w:val="00B33D64"/>
    <w:rsid w:val="00B82E11"/>
    <w:rsid w:val="00B927D3"/>
    <w:rsid w:val="00BA4C9E"/>
    <w:rsid w:val="00CA49E3"/>
    <w:rsid w:val="00D875C2"/>
    <w:rsid w:val="00DB1122"/>
    <w:rsid w:val="00E54984"/>
    <w:rsid w:val="00FF1677"/>
    <w:rsid w:val="0185358B"/>
    <w:rsid w:val="064424ED"/>
    <w:rsid w:val="09410F65"/>
    <w:rsid w:val="286165E5"/>
    <w:rsid w:val="28BA4A28"/>
    <w:rsid w:val="2A021EEC"/>
    <w:rsid w:val="2AB733DD"/>
    <w:rsid w:val="34F66FC6"/>
    <w:rsid w:val="45B977E8"/>
    <w:rsid w:val="473506D4"/>
    <w:rsid w:val="4AF65EAE"/>
    <w:rsid w:val="532A7941"/>
    <w:rsid w:val="54ED50CA"/>
    <w:rsid w:val="65DC3BB9"/>
    <w:rsid w:val="68A51AEC"/>
    <w:rsid w:val="711E3E45"/>
    <w:rsid w:val="71A07410"/>
    <w:rsid w:val="7834054B"/>
    <w:rsid w:val="7A2C349C"/>
    <w:rsid w:val="DFBA1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semiHidden/>
    <w:unhideWhenUsed/>
    <w:qFormat/>
    <w:uiPriority w:val="99"/>
    <w:pPr>
      <w:spacing w:after="120"/>
      <w:ind w:left="420" w:leftChars="200"/>
    </w:pPr>
  </w:style>
  <w:style w:type="paragraph" w:styleId="4">
    <w:name w:val="annotation text"/>
    <w:basedOn w:val="1"/>
    <w:link w:val="17"/>
    <w:unhideWhenUsed/>
    <w:qFormat/>
    <w:uiPriority w:val="99"/>
    <w:pPr>
      <w:jc w:val="left"/>
    </w:pPr>
  </w:style>
  <w:style w:type="paragraph" w:styleId="5">
    <w:name w:val="Balloon Text"/>
    <w:basedOn w:val="1"/>
    <w:link w:val="19"/>
    <w:unhideWhenUsed/>
    <w:qFormat/>
    <w:uiPriority w:val="99"/>
    <w:rPr>
      <w:sz w:val="18"/>
      <w:szCs w:val="18"/>
    </w:rPr>
  </w:style>
  <w:style w:type="paragraph" w:styleId="6">
    <w:name w:val="footer"/>
    <w:basedOn w:val="1"/>
    <w:link w:val="15"/>
    <w:autoRedefine/>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autoRedefine/>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autoRedefine/>
    <w:qFormat/>
    <w:uiPriority w:val="34"/>
    <w:pPr>
      <w:ind w:firstLine="420" w:firstLineChars="200"/>
    </w:pPr>
  </w:style>
  <w:style w:type="character" w:customStyle="1" w:styleId="14">
    <w:name w:val="页眉 字符"/>
    <w:basedOn w:val="11"/>
    <w:link w:val="8"/>
    <w:autoRedefine/>
    <w:qFormat/>
    <w:uiPriority w:val="99"/>
    <w:rPr>
      <w:sz w:val="18"/>
      <w:szCs w:val="18"/>
    </w:rPr>
  </w:style>
  <w:style w:type="character" w:customStyle="1" w:styleId="15">
    <w:name w:val="页脚 字符"/>
    <w:basedOn w:val="11"/>
    <w:link w:val="6"/>
    <w:autoRedefine/>
    <w:qFormat/>
    <w:uiPriority w:val="99"/>
    <w:rPr>
      <w:sz w:val="18"/>
      <w:szCs w:val="18"/>
    </w:rPr>
  </w:style>
  <w:style w:type="character" w:customStyle="1" w:styleId="16">
    <w:name w:val="列出段落 Char"/>
    <w:link w:val="13"/>
    <w:autoRedefine/>
    <w:qFormat/>
    <w:uiPriority w:val="34"/>
    <w:rPr>
      <w:rFonts w:ascii="Calibri" w:hAnsi="Calibri"/>
    </w:rPr>
  </w:style>
  <w:style w:type="character" w:customStyle="1" w:styleId="17">
    <w:name w:val="批注文字 字符"/>
    <w:basedOn w:val="11"/>
    <w:link w:val="4"/>
    <w:autoRedefine/>
    <w:semiHidden/>
    <w:qFormat/>
    <w:uiPriority w:val="99"/>
  </w:style>
  <w:style w:type="character" w:customStyle="1" w:styleId="18">
    <w:name w:val="批注主题 字符"/>
    <w:basedOn w:val="17"/>
    <w:link w:val="9"/>
    <w:autoRedefine/>
    <w:semiHidden/>
    <w:qFormat/>
    <w:uiPriority w:val="99"/>
    <w:rPr>
      <w:b/>
      <w:bCs/>
    </w:rPr>
  </w:style>
  <w:style w:type="character" w:customStyle="1" w:styleId="19">
    <w:name w:val="批注框文本 字符"/>
    <w:basedOn w:val="11"/>
    <w:link w:val="5"/>
    <w:semiHidden/>
    <w:qFormat/>
    <w:uiPriority w:val="99"/>
    <w:rPr>
      <w:sz w:val="18"/>
      <w:szCs w:val="18"/>
    </w:rPr>
  </w:style>
  <w:style w:type="paragraph" w:customStyle="1" w:styleId="20">
    <w:name w:val="正文表格"/>
    <w:basedOn w:val="1"/>
    <w:autoRedefine/>
    <w:qFormat/>
    <w:uiPriority w:val="0"/>
    <w:pPr>
      <w:adjustRightInd w:val="0"/>
      <w:snapToGrid w:val="0"/>
      <w:jc w:val="left"/>
    </w:pPr>
    <w:rPr>
      <w:rFonts w:ascii="宋体" w:hAnsi="宋体"/>
      <w:color w:val="000000"/>
      <w:szCs w:val="21"/>
    </w:rPr>
  </w:style>
  <w:style w:type="paragraph" w:styleId="2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1879</Words>
  <Characters>1900</Characters>
  <Lines>17</Lines>
  <Paragraphs>4</Paragraphs>
  <TotalTime>7</TotalTime>
  <ScaleCrop>false</ScaleCrop>
  <LinksUpToDate>false</LinksUpToDate>
  <CharactersWithSpaces>1902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2024-04-11T10:59:00Z</dcterms:created>
  <dc:creator>强文晓</dc:creator>
  <cp:lastModifiedBy>Y.L.</cp:lastModifiedBy>
  <dcterms:modified xsi:type="dcterms:W3CDTF">2024-06-03T08:42:23Z</dcterms:modified>
  <dc:title>申请人须知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8E53B1A6991844FCBF02DD2E1ED5670C_13</vt:lpwstr>
  </property>
</Properties>
</file>