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outlineLvl w:val="0"/>
        <w:rPr>
          <w:rFonts w:ascii="仿宋" w:hAnsi="仿宋" w:eastAsia="仿宋" w:cs="宋体"/>
          <w:b/>
          <w:bCs/>
          <w:sz w:val="32"/>
          <w:szCs w:val="28"/>
        </w:rPr>
      </w:pPr>
      <w:r>
        <w:rPr>
          <w:rFonts w:ascii="仿宋" w:hAnsi="仿宋" w:eastAsia="仿宋" w:cs="宋体"/>
          <w:b/>
          <w:bCs/>
          <w:sz w:val="32"/>
          <w:szCs w:val="28"/>
        </w:rPr>
        <w:t>申请人须知</w:t>
      </w:r>
    </w:p>
    <w:p>
      <w:pPr>
        <w:spacing w:line="360" w:lineRule="auto"/>
        <w:rPr>
          <w:rFonts w:hint="eastAsia"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1.合格供应商的条件</w:t>
      </w:r>
    </w:p>
    <w:p>
      <w:pPr>
        <w:spacing w:line="360" w:lineRule="auto"/>
        <w:rPr>
          <w:rFonts w:hint="eastAsia"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1.1在中华人民共和国境内注册，具有本项目生产、制造、供应或实施能力，符合、承认并承诺履行本遴选文件各项规定的供应商，须具有政府采购代理能力，在《中国政府采购网》或其分网站《北京市政府采购网》登记的代理机构。</w:t>
      </w:r>
    </w:p>
    <w:p>
      <w:pPr>
        <w:spacing w:line="360" w:lineRule="auto"/>
        <w:rPr>
          <w:rFonts w:hint="eastAsia"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1.2供应商应遵守中华人民共和国有关的国家法律、法规和条例。</w:t>
      </w:r>
    </w:p>
    <w:p>
      <w:pPr>
        <w:spacing w:line="360" w:lineRule="auto"/>
        <w:rPr>
          <w:rFonts w:hint="eastAsia"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1.3单位负责人为同一人或者报价存在直接控股、管理关系的不同供应商，不得同时参加本项目遴选。违反规定的，相关报价均无效。</w:t>
      </w:r>
    </w:p>
    <w:p>
      <w:pPr>
        <w:spacing w:line="360" w:lineRule="auto"/>
        <w:rPr>
          <w:rFonts w:hint="eastAsia"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1.4为本项目提供整体设计、规范编制或者项目管理、监理、检测等服务的供应商，不得参加本项目遴选。</w:t>
      </w:r>
    </w:p>
    <w:p>
      <w:pPr>
        <w:spacing w:line="360" w:lineRule="auto"/>
        <w:rPr>
          <w:rFonts w:hint="eastAsia"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1.5供应商不得被列入相关部门规定的失信被执行人、重大税收违法案件当事人名单、政府采购严重违法失信行为记录名单。</w:t>
      </w:r>
    </w:p>
    <w:p>
      <w:pPr>
        <w:spacing w:line="360" w:lineRule="auto"/>
        <w:rPr>
          <w:rFonts w:hint="eastAsia" w:ascii="仿宋" w:hAnsi="仿宋" w:eastAsia="仿宋" w:cs="宋体"/>
          <w:bCs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2.供应商应提交的文件资料</w:t>
      </w:r>
    </w:p>
    <w:p>
      <w:pPr>
        <w:spacing w:line="360" w:lineRule="auto"/>
        <w:rPr>
          <w:rFonts w:hint="eastAsia"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2.1针对遴选文件提交的正式</w:t>
      </w:r>
      <w:r>
        <w:rPr>
          <w:rFonts w:hint="eastAsia" w:ascii="仿宋" w:hAnsi="仿宋" w:eastAsia="仿宋" w:cs="宋体"/>
          <w:bCs/>
          <w:sz w:val="28"/>
          <w:szCs w:val="28"/>
          <w:lang w:eastAsia="zh-CN"/>
        </w:rPr>
        <w:t>响应文件</w:t>
      </w:r>
      <w:r>
        <w:rPr>
          <w:rFonts w:hint="eastAsia" w:ascii="仿宋" w:hAnsi="仿宋" w:eastAsia="仿宋" w:cs="宋体"/>
          <w:bCs/>
          <w:sz w:val="28"/>
          <w:szCs w:val="28"/>
        </w:rPr>
        <w:t>。</w:t>
      </w:r>
      <w:r>
        <w:rPr>
          <w:rFonts w:hint="eastAsia" w:ascii="仿宋" w:hAnsi="仿宋" w:eastAsia="仿宋" w:cs="宋体"/>
          <w:bCs/>
          <w:sz w:val="28"/>
          <w:szCs w:val="28"/>
          <w:lang w:eastAsia="zh-CN"/>
        </w:rPr>
        <w:t>响应文件</w:t>
      </w:r>
      <w:r>
        <w:rPr>
          <w:rFonts w:hint="eastAsia" w:ascii="仿宋" w:hAnsi="仿宋" w:eastAsia="仿宋" w:cs="宋体"/>
          <w:bCs/>
          <w:sz w:val="28"/>
          <w:szCs w:val="28"/>
        </w:rPr>
        <w:t>应严格按照项目需求和评分标准准备，结构清晰、内容明确。</w:t>
      </w:r>
    </w:p>
    <w:p>
      <w:pPr>
        <w:spacing w:line="360" w:lineRule="auto"/>
        <w:rPr>
          <w:rFonts w:hint="eastAsia"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2.2报价函（按照遴选文件提供格式填写）。</w:t>
      </w:r>
    </w:p>
    <w:p>
      <w:pPr>
        <w:spacing w:line="360" w:lineRule="auto"/>
        <w:rPr>
          <w:rFonts w:hint="eastAsia" w:ascii="仿宋" w:hAnsi="仿宋" w:eastAsia="仿宋" w:cs="宋体"/>
          <w:bCs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3.遴选费用</w:t>
      </w:r>
    </w:p>
    <w:p>
      <w:pPr>
        <w:spacing w:line="360" w:lineRule="auto"/>
        <w:rPr>
          <w:rFonts w:hint="eastAsia"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3.1供应商应承担所有与准备和参加遴选有关的费用，项目单位在任何情况下均无义务和责任承担相关费用。</w:t>
      </w:r>
    </w:p>
    <w:p>
      <w:pPr>
        <w:spacing w:line="360" w:lineRule="auto"/>
        <w:rPr>
          <w:rFonts w:hint="eastAsia"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3.2遴选文件免费下载或获取。</w:t>
      </w:r>
    </w:p>
    <w:p>
      <w:pPr>
        <w:spacing w:line="360" w:lineRule="auto"/>
        <w:rPr>
          <w:rFonts w:hint="eastAsia" w:ascii="仿宋" w:hAnsi="仿宋" w:eastAsia="仿宋" w:cs="宋体"/>
          <w:bCs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4.提交前遴选文件的澄清和修改</w:t>
      </w:r>
    </w:p>
    <w:p>
      <w:pPr>
        <w:spacing w:line="360" w:lineRule="auto"/>
        <w:rPr>
          <w:rFonts w:hint="eastAsia"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4.1任何已按规定程序下载或获取遴选文件的潜在供应商，均可要求对遴选文件进行澄清或修改。</w:t>
      </w:r>
    </w:p>
    <w:p>
      <w:pPr>
        <w:spacing w:line="360" w:lineRule="auto"/>
        <w:rPr>
          <w:rFonts w:hint="eastAsia"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4.2项目单位可以对已发出的遴选文件进行必要的澄清或者修改。澄清或者修改的内容为遴选文件的组成部分。</w:t>
      </w:r>
    </w:p>
    <w:p>
      <w:pPr>
        <w:spacing w:line="360" w:lineRule="auto"/>
        <w:rPr>
          <w:rFonts w:hint="eastAsia" w:ascii="仿宋" w:hAnsi="仿宋" w:eastAsia="仿宋" w:cs="宋体"/>
          <w:bCs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5.综合评分</w:t>
      </w:r>
      <w:r>
        <w:rPr>
          <w:rFonts w:hint="eastAsia" w:ascii="仿宋" w:hAnsi="仿宋" w:eastAsia="仿宋" w:cs="宋体"/>
          <w:bCs/>
          <w:sz w:val="28"/>
          <w:szCs w:val="28"/>
          <w:lang w:eastAsia="zh-CN"/>
        </w:rPr>
        <w:t>及确定成交人</w:t>
      </w:r>
    </w:p>
    <w:p>
      <w:pPr>
        <w:spacing w:line="360" w:lineRule="auto"/>
        <w:rPr>
          <w:rFonts w:hint="eastAsia"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5.1遴选不超过3家具备资格、满足要求的政府采购代理机构，为委机关提供货物、服务和工程类政府采购代理服务。报名且符合条件的供应商数量在3家及以上的，选取综合评审总分前3名作为委机关政府采购代理机构。若报名且符合条件的供应商数量小于3家的，则重新开展遴选工作。</w:t>
      </w:r>
    </w:p>
    <w:p>
      <w:pPr>
        <w:spacing w:line="360" w:lineRule="auto"/>
        <w:rPr>
          <w:rFonts w:hint="eastAsia" w:ascii="仿宋" w:hAnsi="仿宋" w:eastAsia="仿宋" w:cs="宋体"/>
          <w:bCs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宋体"/>
          <w:bCs/>
          <w:sz w:val="28"/>
          <w:szCs w:val="28"/>
        </w:rPr>
        <w:t>.遴选过程要求</w:t>
      </w:r>
    </w:p>
    <w:p>
      <w:pPr>
        <w:spacing w:line="360" w:lineRule="auto"/>
        <w:rPr>
          <w:rFonts w:hint="eastAsia"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7.1在遴选期间，供应商企图影响项目单位或遴选小组公正性的任何活动，将被剔除出本项目遴选，并由其承担相应的法律责任。</w:t>
      </w:r>
    </w:p>
    <w:p>
      <w:pPr>
        <w:widowControl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ascii="仿宋" w:hAnsi="仿宋" w:eastAsia="仿宋" w:cs="宋体"/>
          <w:b/>
          <w:bCs/>
          <w:sz w:val="28"/>
          <w:szCs w:val="28"/>
        </w:rPr>
        <w:br w:type="page"/>
      </w:r>
    </w:p>
    <w:p>
      <w:pPr>
        <w:spacing w:line="360" w:lineRule="auto"/>
        <w:jc w:val="center"/>
        <w:outlineLvl w:val="0"/>
        <w:rPr>
          <w:rFonts w:ascii="仿宋" w:hAnsi="仿宋" w:eastAsia="仿宋" w:cs="宋体"/>
          <w:b/>
          <w:bCs/>
          <w:sz w:val="32"/>
          <w:szCs w:val="28"/>
        </w:rPr>
      </w:pPr>
      <w:r>
        <w:rPr>
          <w:rFonts w:ascii="仿宋" w:hAnsi="仿宋" w:eastAsia="仿宋" w:cs="宋体"/>
          <w:b/>
          <w:bCs/>
          <w:sz w:val="32"/>
          <w:szCs w:val="28"/>
        </w:rPr>
        <w:t>评分标准</w:t>
      </w:r>
    </w:p>
    <w:tbl>
      <w:tblPr>
        <w:tblStyle w:val="9"/>
        <w:tblW w:w="999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102"/>
        <w:gridCol w:w="576"/>
        <w:gridCol w:w="1266"/>
        <w:gridCol w:w="1632"/>
        <w:gridCol w:w="872"/>
        <w:gridCol w:w="41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427" w:type="dxa"/>
            <w:tcBorders>
              <w:top w:val="thinThickSmallGap" w:color="000000" w:sz="12" w:space="0"/>
              <w:left w:val="thinThickSmallGap" w:color="000000" w:sz="12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102" w:type="dxa"/>
            <w:tcBorders>
              <w:top w:val="thinThickSmallGap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评审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细则分类</w:t>
            </w:r>
          </w:p>
        </w:tc>
        <w:tc>
          <w:tcPr>
            <w:tcW w:w="576" w:type="dxa"/>
            <w:tcBorders>
              <w:top w:val="thinThickSmallGap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分值</w:t>
            </w:r>
          </w:p>
        </w:tc>
        <w:tc>
          <w:tcPr>
            <w:tcW w:w="1266" w:type="dxa"/>
            <w:tcBorders>
              <w:top w:val="thinThickSmallGap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632" w:type="dxa"/>
            <w:tcBorders>
              <w:top w:val="thinThickSmallGap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评审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细则内容</w:t>
            </w:r>
          </w:p>
        </w:tc>
        <w:tc>
          <w:tcPr>
            <w:tcW w:w="872" w:type="dxa"/>
            <w:tcBorders>
              <w:top w:val="thinThickSmallGap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分值</w:t>
            </w:r>
          </w:p>
        </w:tc>
        <w:tc>
          <w:tcPr>
            <w:tcW w:w="4116" w:type="dxa"/>
            <w:tcBorders>
              <w:top w:val="thinThickSmallGap" w:color="000000" w:sz="12" w:space="0"/>
              <w:left w:val="single" w:color="000000" w:sz="6" w:space="0"/>
              <w:bottom w:val="single" w:color="000000" w:sz="6" w:space="0"/>
              <w:right w:val="thickThinSmallGap" w:color="000000" w:sz="12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评审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细则说明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427" w:type="dxa"/>
            <w:tcBorders>
              <w:top w:val="thinThickSmallGap" w:color="000000" w:sz="12" w:space="0"/>
              <w:left w:val="thinThickSmallGap" w:color="000000" w:sz="12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102" w:type="dxa"/>
            <w:tcBorders>
              <w:top w:val="thinThickSmallGap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价格</w:t>
            </w:r>
          </w:p>
        </w:tc>
        <w:tc>
          <w:tcPr>
            <w:tcW w:w="576" w:type="dxa"/>
            <w:tcBorders>
              <w:top w:val="thinThickSmallGap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266" w:type="dxa"/>
            <w:tcBorders>
              <w:top w:val="thinThickSmallGap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价格</w:t>
            </w:r>
          </w:p>
        </w:tc>
        <w:tc>
          <w:tcPr>
            <w:tcW w:w="1632" w:type="dxa"/>
            <w:tcBorders>
              <w:top w:val="thinThickSmallGap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thinThickSmallGap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4116" w:type="dxa"/>
            <w:tcBorders>
              <w:top w:val="thinThickSmallGap" w:color="000000" w:sz="12" w:space="0"/>
              <w:left w:val="single" w:color="000000" w:sz="6" w:space="0"/>
              <w:bottom w:val="single" w:color="000000" w:sz="6" w:space="0"/>
              <w:right w:val="thickThinSmallGap" w:color="000000" w:sz="12" w:space="0"/>
            </w:tcBorders>
            <w:shd w:val="solid" w:color="FFFFFF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以符合遴选文件要求的代理机构最低折扣率作为基准价，基准价得满分10分，其它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供应商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的价格得分＝（基准价/该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供应商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的折扣率）×10。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427" w:type="dxa"/>
            <w:vMerge w:val="restart"/>
            <w:tcBorders>
              <w:top w:val="single" w:color="000000" w:sz="6" w:space="0"/>
              <w:left w:val="thinThickSmallGap" w:color="000000" w:sz="12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bookmarkStart w:id="0" w:name="_Hlk513558907"/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10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服务、方案及人员情况</w:t>
            </w:r>
          </w:p>
        </w:tc>
        <w:tc>
          <w:tcPr>
            <w:tcW w:w="57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90</w:t>
            </w:r>
          </w:p>
        </w:tc>
        <w:tc>
          <w:tcPr>
            <w:tcW w:w="126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服务方案</w:t>
            </w: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货物类项目的代理服务方案</w:t>
            </w: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11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thickThinSmallGap" w:color="000000" w:sz="12" w:space="0"/>
            </w:tcBorders>
            <w:shd w:val="solid" w:color="FFFFFF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好：5分；较好：3分；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一般：1分；较差：0分。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（项目方案需要针对卫生健康行业政府采购项目特点、风险特征，具备针对性）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427" w:type="dxa"/>
            <w:vMerge w:val="continue"/>
            <w:tcBorders>
              <w:left w:val="thinThickSmallGap" w:color="000000" w:sz="12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服务类项目的代理服务方案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thickThinSmallGap" w:color="000000" w:sz="12" w:space="0"/>
            </w:tcBorders>
            <w:shd w:val="solid" w:color="FFFFFF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好：5分；较好：3分；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一般：1分；较差：0分。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（项目方案需要针对卫生健康行业政府采购项目特点、风险特征，具备针对性）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427" w:type="dxa"/>
            <w:vMerge w:val="continue"/>
            <w:tcBorders>
              <w:left w:val="thinThickSmallGap" w:color="000000" w:sz="12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工程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类项目的代理服务方案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thickThinSmallGap" w:color="000000" w:sz="12" w:space="0"/>
            </w:tcBorders>
            <w:shd w:val="solid" w:color="FFFFFF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好：5分；较好：3分；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一般：1分；较差：0分。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（项目方案需要针对卫生健康行业政府采购项目特点、风险特征，具备针对性）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7" w:type="dxa"/>
            <w:vMerge w:val="continue"/>
            <w:tcBorders>
              <w:top w:val="single" w:color="000000" w:sz="6" w:space="0"/>
              <w:left w:val="thinThickSmallGap" w:color="000000" w:sz="12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项目组情况</w:t>
            </w:r>
          </w:p>
        </w:tc>
        <w:tc>
          <w:tcPr>
            <w:tcW w:w="163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项目组负责人</w:t>
            </w:r>
          </w:p>
        </w:tc>
        <w:tc>
          <w:tcPr>
            <w:tcW w:w="87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11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thickThinSmallGap" w:color="000000" w:sz="12" w:space="0"/>
            </w:tcBorders>
            <w:shd w:val="solid" w:color="FFFFFF" w:fill="auto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1、项目负责人从事政府采购工作时间，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工作年限10年（含）以上，得3分；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br/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工作年限5-10年（含5年），得1分；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br/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工作年限5年以下，不得分。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br/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提供相关证明材料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（加盖本单位公章）。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427" w:type="dxa"/>
            <w:vMerge w:val="continue"/>
            <w:tcBorders>
              <w:top w:val="single" w:color="000000" w:sz="6" w:space="0"/>
              <w:left w:val="thinThickSmallGap" w:color="000000" w:sz="12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4116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thickThinSmallGap" w:color="000000" w:sz="12" w:space="0"/>
            </w:tcBorders>
            <w:shd w:val="solid" w:color="FFFFFF" w:fill="auto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2、项目负责人学历及职称，本科（含）以上学历或副高以上职称得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分，专科学历或中级职称得1分，其他不得分。（需提供学历或职称证明材料）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427" w:type="dxa"/>
            <w:vMerge w:val="continue"/>
            <w:tcBorders>
              <w:top w:val="single" w:color="000000" w:sz="6" w:space="0"/>
              <w:left w:val="thinThickSmallGap" w:color="000000" w:sz="12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团队成员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thickThinSmallGap" w:color="000000" w:sz="12" w:space="0"/>
            </w:tcBorders>
            <w:shd w:val="solid" w:color="FFFFFF" w:fill="auto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团队成员配置及数量（提供人员名册），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本科以上学历或中级职称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且服务过同类型、同规模客户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，政府采购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工作经验满足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3年以上，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每人得1分，最高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分；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提供体现团队成员沟通能力、专业能力的服务案例说明，每个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1分，最高2分。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427" w:type="dxa"/>
            <w:vMerge w:val="continue"/>
            <w:tcBorders>
              <w:top w:val="single" w:color="000000" w:sz="6" w:space="0"/>
              <w:left w:val="thinThickSmallGap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办公场所和办公条件</w:t>
            </w: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代理政府采购业务办公条件</w:t>
            </w: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11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thickThinSmallGap" w:color="000000" w:sz="12" w:space="0"/>
            </w:tcBorders>
            <w:shd w:val="solid" w:color="FFFFFF" w:fill="auto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提供用于论证、开标及评标的场所（每个会议室），提供房屋所有权或房屋租赁合同复印件及会议室现场照片。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br/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提供1个30平方米（含）以上的会议室，得1分，最高得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427" w:type="dxa"/>
            <w:vMerge w:val="continue"/>
            <w:tcBorders>
              <w:top w:val="single" w:color="auto" w:sz="6" w:space="0"/>
              <w:left w:val="thinThickSmallGap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采购环节遇到的问题</w:t>
            </w: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对采购环节可能遇到的问题的预判及相应的解决方案</w:t>
            </w: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11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thickThinSmallGap" w:color="000000" w:sz="12" w:space="0"/>
            </w:tcBorders>
            <w:shd w:val="solid" w:color="FFFFFF" w:fill="auto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好：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12-15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分；较好：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8-12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分；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一般：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4-7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分；较差：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0-3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分。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（解决方案需要针对客户特点制定，需提供完整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sop及服务承诺。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需要提供过去相关解决方案案例至少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3个，案例应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体现供应商服务意识、专业性及解决复杂问题能力，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否则此项不得分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427" w:type="dxa"/>
            <w:vMerge w:val="continue"/>
            <w:tcBorders>
              <w:top w:val="single" w:color="auto" w:sz="6" w:space="0"/>
              <w:left w:val="thinThickSmallGap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质疑、投诉解决方案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对可能遇到质疑、投诉的预判及相应的解决方案</w:t>
            </w:r>
          </w:p>
        </w:tc>
        <w:tc>
          <w:tcPr>
            <w:tcW w:w="872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116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thickThinSmallGap" w:color="000000" w:sz="12" w:space="0"/>
            </w:tcBorders>
            <w:shd w:val="solid" w:color="FFFFFF" w:fill="auto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好：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12-15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分；较好：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8-12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分；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一般：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4-7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分；较差：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0-3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分。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（解决方案需要针对客户特点制定，需提供完整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sop及服务承诺。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需要提供过去相关解决方案案例至少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3个，案例应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体现供应商服务意识、专业性及解决复杂问题能力，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否则此项不得分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27" w:type="dxa"/>
            <w:vMerge w:val="continue"/>
            <w:tcBorders>
              <w:top w:val="single" w:color="auto" w:sz="6" w:space="0"/>
              <w:left w:val="thinThickSmallGap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vMerge w:val="restart"/>
            <w:tcBorders>
              <w:top w:val="single" w:color="auto" w:sz="6" w:space="0"/>
              <w:left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相关管理制度</w:t>
            </w:r>
          </w:p>
        </w:tc>
        <w:tc>
          <w:tcPr>
            <w:tcW w:w="1632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人员管理、培训</w:t>
            </w:r>
          </w:p>
        </w:tc>
        <w:tc>
          <w:tcPr>
            <w:tcW w:w="872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116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thickThinSmallGap" w:color="000000" w:sz="12" w:space="0"/>
            </w:tcBorders>
            <w:shd w:val="solid" w:color="FFFFFF" w:fill="auto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好：5分；较好：3分；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一般：1分；较差：0分。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427" w:type="dxa"/>
            <w:vMerge w:val="continue"/>
            <w:tcBorders>
              <w:top w:val="single" w:color="000000" w:sz="6" w:space="0"/>
              <w:left w:val="thinThickSmallGap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政府采购档案的保管</w:t>
            </w: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11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thickThinSmallGap" w:color="000000" w:sz="12" w:space="0"/>
            </w:tcBorders>
            <w:shd w:val="solid" w:color="FFFFFF" w:fill="auto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提供档案保存地点（提供照片、地理位置截图，所有权或使用权证明材料）得2分，未提供不得分。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提供相关管理制度，好得1分，差不得分。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27" w:type="dxa"/>
            <w:vMerge w:val="continue"/>
            <w:tcBorders>
              <w:top w:val="single" w:color="000000" w:sz="6" w:space="0"/>
              <w:left w:val="thinThickSmallGap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质量控制、特别是内部控制及管理办法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thickThinSmallGap" w:color="000000" w:sz="12" w:space="0"/>
            </w:tcBorders>
            <w:shd w:val="solid" w:color="FFFFFF" w:fill="auto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提供相关管理制度，特别是对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招标文件论证、招标结果复核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的内部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质量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控制制度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及工作要求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，好得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分，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较好得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8分，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一般得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分，差不得分。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27" w:type="dxa"/>
            <w:vMerge w:val="continue"/>
            <w:tcBorders>
              <w:top w:val="single" w:color="000000" w:sz="6" w:space="0"/>
              <w:left w:val="thinThickSmallGap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bookmarkStart w:id="1" w:name="_GoBack" w:colFirst="3" w:colLast="3"/>
          </w:p>
        </w:tc>
        <w:tc>
          <w:tcPr>
            <w:tcW w:w="11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相关经验</w:t>
            </w: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货物类</w:t>
            </w: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11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thickThinSmallGap" w:color="000000" w:sz="12" w:space="0"/>
            </w:tcBorders>
            <w:shd w:val="solid" w:color="FFFFFF" w:fill="auto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提供2020年1月1日至今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类似客户（同类型、同规模）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代理协议关键页复印件，每1个得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分，最高得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分。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项目案例不得包括市卫生健康委。</w:t>
            </w:r>
          </w:p>
        </w:tc>
      </w:tr>
      <w:bookmarkEnd w:id="1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427" w:type="dxa"/>
            <w:vMerge w:val="continue"/>
            <w:tcBorders>
              <w:top w:val="single" w:color="000000" w:sz="6" w:space="0"/>
              <w:left w:val="thinThickSmallGap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服务类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thickThinSmallGap" w:color="000000" w:sz="12" w:space="0"/>
            </w:tcBorders>
            <w:shd w:val="solid" w:color="FFFFFF" w:fill="auto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提供2020年1月1日至今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类似客户（同类型、同规模）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代理协议关键页复印件，每1个得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分，最高得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分。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项目案例不得包括市卫生健康委。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427" w:type="dxa"/>
            <w:vMerge w:val="continue"/>
            <w:tcBorders>
              <w:top w:val="single" w:color="000000" w:sz="6" w:space="0"/>
              <w:left w:val="thinThickSmallGap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工程类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thickThinSmallGap" w:color="000000" w:sz="12" w:space="0"/>
            </w:tcBorders>
            <w:shd w:val="solid" w:color="FFFFFF" w:fill="auto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提供2020年1月1日至今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类似客户（同类型、同规模）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代理协议关键页复印件，每1个得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分，最高得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分。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项目案例不得包括市卫生健康委。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27" w:type="dxa"/>
            <w:vMerge w:val="continue"/>
            <w:tcBorders>
              <w:top w:val="single" w:color="000000" w:sz="6" w:space="0"/>
              <w:left w:val="thinThickSmallGap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响应文件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制作</w:t>
            </w: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响应文件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制作</w:t>
            </w: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4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thickThinSmallGap" w:color="000000" w:sz="12" w:space="0"/>
            </w:tcBorders>
            <w:shd w:val="solid" w:color="FFFFFF" w:fill="auto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响应文件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装订完整目录页码对应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各项评分标准要求，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准确得1分；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双面打印得1分。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29" w:type="dxa"/>
            <w:gridSpan w:val="2"/>
            <w:tcBorders>
              <w:top w:val="single" w:color="000000" w:sz="6" w:space="0"/>
              <w:left w:val="thinThickSmallGap" w:color="000000" w:sz="12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合  计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solid" w:color="FFFFFF" w:fill="auto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solid" w:color="FFFFFF" w:fill="auto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41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thickThinSmallGap" w:color="000000" w:sz="12" w:space="0"/>
            </w:tcBorders>
            <w:shd w:val="solid" w:color="FFFFFF" w:fill="auto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仿宋" w:hAnsi="仿宋" w:eastAsia="仿宋" w:cs="宋体"/>
          <w:szCs w:val="21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">
    <w:nsid w:val="00000014"/>
    <w:multiLevelType w:val="multilevel"/>
    <w:tmpl w:val="00000014"/>
    <w:lvl w:ilvl="0" w:tentative="1">
      <w:start w:val="1"/>
      <w:numFmt w:val="decimal"/>
      <w:pStyle w:val="11"/>
      <w:lvlText w:val="%1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1" w:tentative="1">
      <w:start w:val="1"/>
      <w:numFmt w:val="decimal"/>
      <w:lvlText w:val="%1.%2"/>
      <w:lvlJc w:val="left"/>
      <w:pPr>
        <w:tabs>
          <w:tab w:val="left" w:pos="709"/>
        </w:tabs>
        <w:ind w:left="709" w:hanging="709"/>
      </w:pPr>
      <w:rPr>
        <w:rFonts w:hint="eastAsia" w:ascii="宋体" w:hAnsi="宋体" w:eastAsia="宋体"/>
        <w:b w:val="0"/>
        <w:color w:val="auto"/>
        <w:sz w:val="21"/>
        <w:szCs w:val="21"/>
      </w:rPr>
    </w:lvl>
    <w:lvl w:ilvl="2" w:tentative="1">
      <w:start w:val="1"/>
      <w:numFmt w:val="decimal"/>
      <w:lvlText w:val="%1.%2.%3."/>
      <w:lvlJc w:val="left"/>
      <w:pPr>
        <w:tabs>
          <w:tab w:val="left" w:pos="425"/>
        </w:tabs>
        <w:ind w:left="425" w:hanging="425"/>
      </w:pPr>
      <w:rPr>
        <w:rFonts w:hint="eastAsia"/>
        <w:sz w:val="21"/>
        <w:szCs w:val="21"/>
      </w:rPr>
    </w:lvl>
    <w:lvl w:ilvl="3" w:tentative="1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1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1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1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1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1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TdkMmRiNGJiOThiMjBmMmJlYjcyNGQ5NjQyODE5MzEifQ=="/>
  </w:docVars>
  <w:rsids>
    <w:rsidRoot w:val="0099485C"/>
    <w:rsid w:val="000A22BF"/>
    <w:rsid w:val="00193EAA"/>
    <w:rsid w:val="002813AC"/>
    <w:rsid w:val="00296944"/>
    <w:rsid w:val="002D2684"/>
    <w:rsid w:val="003B2C36"/>
    <w:rsid w:val="003D1C53"/>
    <w:rsid w:val="003E70D5"/>
    <w:rsid w:val="004D73E0"/>
    <w:rsid w:val="004F644E"/>
    <w:rsid w:val="00504DC9"/>
    <w:rsid w:val="00515BAC"/>
    <w:rsid w:val="006337E9"/>
    <w:rsid w:val="006975EE"/>
    <w:rsid w:val="006F7B9A"/>
    <w:rsid w:val="0072607C"/>
    <w:rsid w:val="007A7660"/>
    <w:rsid w:val="008A2C42"/>
    <w:rsid w:val="0099485C"/>
    <w:rsid w:val="00B33D64"/>
    <w:rsid w:val="00B927D3"/>
    <w:rsid w:val="00BA4C9E"/>
    <w:rsid w:val="00C93AE2"/>
    <w:rsid w:val="00CA49E3"/>
    <w:rsid w:val="00D875C2"/>
    <w:rsid w:val="00DB1122"/>
    <w:rsid w:val="00FF1677"/>
    <w:rsid w:val="05844961"/>
    <w:rsid w:val="0A5002F7"/>
    <w:rsid w:val="19E90A8E"/>
    <w:rsid w:val="1E1665EA"/>
    <w:rsid w:val="2485597A"/>
    <w:rsid w:val="31D22CC8"/>
    <w:rsid w:val="32090C24"/>
    <w:rsid w:val="39EA32F3"/>
    <w:rsid w:val="4BEF5F9E"/>
    <w:rsid w:val="52205B82"/>
    <w:rsid w:val="534A4F32"/>
    <w:rsid w:val="53E443F3"/>
    <w:rsid w:val="72BC2EC1"/>
    <w:rsid w:val="77B030EB"/>
    <w:rsid w:val="EFEEB3D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16"/>
    <w:unhideWhenUsed/>
    <w:qFormat/>
    <w:uiPriority w:val="99"/>
    <w:rPr>
      <w:b/>
      <w:bCs/>
    </w:rPr>
  </w:style>
  <w:style w:type="paragraph" w:styleId="3">
    <w:name w:val="annotation text"/>
    <w:basedOn w:val="1"/>
    <w:link w:val="15"/>
    <w:unhideWhenUsed/>
    <w:qFormat/>
    <w:uiPriority w:val="99"/>
    <w:pPr>
      <w:jc w:val="left"/>
    </w:p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paragraph" w:customStyle="1" w:styleId="10">
    <w:name w:val="List Paragraph"/>
    <w:basedOn w:val="1"/>
    <w:link w:val="14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11">
    <w:name w:val="样式1"/>
    <w:basedOn w:val="1"/>
    <w:qFormat/>
    <w:uiPriority w:val="0"/>
    <w:pPr>
      <w:numPr>
        <w:ilvl w:val="0"/>
        <w:numId w:val="1"/>
      </w:numPr>
      <w:spacing w:line="240" w:lineRule="auto"/>
      <w:jc w:val="both"/>
    </w:pPr>
    <w:rPr>
      <w:rFonts w:ascii="宋体" w:hAnsi="宋体"/>
      <w:sz w:val="21"/>
      <w:szCs w:val="21"/>
    </w:rPr>
  </w:style>
  <w:style w:type="character" w:customStyle="1" w:styleId="12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列出段落 Char"/>
    <w:link w:val="10"/>
    <w:qFormat/>
    <w:uiPriority w:val="34"/>
    <w:rPr>
      <w:rFonts w:ascii="Calibri" w:hAnsi="Calibri"/>
    </w:rPr>
  </w:style>
  <w:style w:type="character" w:customStyle="1" w:styleId="15">
    <w:name w:val="批注文字 Char"/>
    <w:basedOn w:val="7"/>
    <w:link w:val="3"/>
    <w:semiHidden/>
    <w:qFormat/>
    <w:uiPriority w:val="99"/>
    <w:rPr/>
  </w:style>
  <w:style w:type="character" w:customStyle="1" w:styleId="16">
    <w:name w:val="批注主题 Char"/>
    <w:basedOn w:val="15"/>
    <w:link w:val="2"/>
    <w:semiHidden/>
    <w:qFormat/>
    <w:uiPriority w:val="99"/>
    <w:rPr>
      <w:b/>
      <w:bCs/>
    </w:rPr>
  </w:style>
  <w:style w:type="character" w:customStyle="1" w:styleId="17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8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1884</Words>
  <Characters>1947</Characters>
  <Lines>15</Lines>
  <Paragraphs>4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2022-04-19T04:00:00Z</dcterms:created>
  <dc:creator>强文晓</dc:creator>
  <cp:lastModifiedBy>程超（内勤）</cp:lastModifiedBy>
  <cp:lastPrinted>2022-12-30T09:33:22Z</cp:lastPrinted>
  <dcterms:modified xsi:type="dcterms:W3CDTF">2022-12-30T09:34:48Z</dcterms:modified>
  <dc:title>申请人须知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FA54EFCEB95D44C4B3205F5E622C615E</vt:lpwstr>
  </property>
</Properties>
</file>