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hint="eastAsia"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评分标准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和评分方法</w:t>
      </w:r>
    </w:p>
    <w:tbl>
      <w:tblPr>
        <w:tblStyle w:val="17"/>
        <w:tblW w:w="875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870"/>
        <w:gridCol w:w="482"/>
        <w:gridCol w:w="1560"/>
        <w:gridCol w:w="5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评分因素分项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资质部分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投标人基本情况（10分）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具有职业卫生技术服务机构资质证书且在有效期内的，得10分，否则得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投标文件制作（满分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5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不出现投标文件内容无法辨认、文件目录顺序和格式错误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文件不完整的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5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分，出现上述情况之一最多得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1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both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技术部分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eastAsia="等线" w:cs="宋体"/>
                <w:kern w:val="0"/>
                <w:szCs w:val="21"/>
                <w:lang w:eastAsia="zh-CN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投标人对本项目的认识和理解（10分）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根据投标人对项目服务需求范围、服务内容、服务方式、项目实施要求的认识和理解程度，对服务实施方案合理性综合评审比较打分：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，对项目的要求充分理解，完全满足项目服务目标要求，方案设置准确完善，得10分；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，对项目的要求基本理解，满足项目服务目标部分要求，方案设置情况有缺陷，得5分；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第三档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，对项目的要求不理解，不能满足项目服务目标要求，方案设置不合理，得0分。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服务团队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（10分）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根据投标人方案中组织结构和服务团队人员保障情况给分：（请提供投标人单位相关人员的社保相关证明）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实施服务团队的人员配备合理，人员专业配置齐全，人员分工明确、责任清晰，满足项目实际需要，承诺实施服务团队人员稳定，项目组成员超过12人，至少具有2名高级职称，且中级以上职称不低于5人，得10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实施服务团队的人员配备基本合理，人员专业配置较齐全，进行了人员分工、并界定了责任，基本能够满足项目实际需要，承诺实施服务团队人员稳定，人员超过10人，至少具有2名高级职称，且中级以上职称低于4人，得3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第三档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，服务团队人员配备不合理，专业配置不能满足项目实际需要，人员低于9人，高级职称人数1名，中级职称人数低于3名，得0分。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项目实施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服务方案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（2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5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根据投标人对项目职业病危害因素监测能力综合评审比较打分：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，实施方案全面、详细，可操作性强，得2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>5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，实施方案可行，得15分；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第三档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，制定了服务方案，但方案无针对性，可行性较差，得5分。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szCs w:val="21"/>
              </w:rPr>
              <w:t>投入仪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器、设备（7分）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szCs w:val="21"/>
              </w:rPr>
              <w:t>列明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职业病危害因素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eastAsia="zh-CN"/>
              </w:rPr>
              <w:t>检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测过程中所需仪器和设备：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，设备类型、数量、参数等能满足检测工作需要，且设备在有效检定期内，得7分；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，设备类型、数量等基本能满足检测工作需要，且有的设备在有效检定期内，得3分</w:t>
            </w:r>
            <w:r>
              <w:rPr>
                <w:rStyle w:val="30"/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服务保障能力（10分）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420" w:leftChars="200" w:firstLine="0" w:firstLineChars="0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服务工作质量控制措施：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，有完善的质量体系；服务方案中质量控制措施和手段合理且可靠；有完善的工作管理制度和奖惩制度；有具体目标和服务承诺，得10分；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，质量控制措施和手段针对性不强；有工作管理制度和奖惩制度、但不完善；有目标和服务承诺、但不具体，得5分。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项目服务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应急预案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（5分）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投标人根据项目服务内容和服务目标，准备项目实施服务应急预案，对应急预案的细致合理性、针对性地应对临时突发的紧急情况的可行性和可信度进行评价：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  <w:lang w:val="en-US"/>
              </w:rPr>
              <w:t xml:space="preserve">    </w:t>
            </w: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第一档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，应急预案细致合理、针对性强，具备应急实施的可行性，结果可靠，可信度高，得5分；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b/>
                <w:kern w:val="0"/>
                <w:szCs w:val="21"/>
              </w:rPr>
              <w:t>第二档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，应急预案合理性、针对性一般，具备应急实施的可行性，结果具备可信性，得2分。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技术服务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响应度与契合度（8分）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 xml:space="preserve">投标人对本次项目技术服务条款未响应或负偏离，偏离一项扣2分，8分扣完为止。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价格部分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评标价格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（10分）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240"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计算投标人的价格得分：满足招标文件要求且投标报价的算数平均值为评标基准价，其价格分为满分。其他投标人的价格分统一按照下列公式计算：</w:t>
            </w:r>
          </w:p>
          <w:p>
            <w:pPr>
              <w:widowControl/>
              <w:adjustRightInd w:val="0"/>
              <w:snapToGrid w:val="0"/>
              <w:spacing w:before="100" w:beforeAutospacing="1" w:after="240" w:line="360" w:lineRule="auto"/>
              <w:ind w:firstLine="420" w:firstLineChars="200"/>
              <w:jc w:val="left"/>
              <w:rPr>
                <w:rStyle w:val="30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投标报价得分=(评标基准价／投标报价)×10</w:t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br w:type="textWrapping" w:clear="all"/>
            </w:r>
            <w:r>
              <w:rPr>
                <w:rStyle w:val="30"/>
                <w:rFonts w:hint="eastAsia" w:ascii="宋体" w:hAnsi="宋体" w:cs="宋体"/>
                <w:kern w:val="0"/>
                <w:szCs w:val="21"/>
              </w:rPr>
              <w:t>计算得分时结果保留到小数点后2位，第三位四舍五入。</w:t>
            </w:r>
          </w:p>
        </w:tc>
      </w:tr>
    </w:tbl>
    <w:p>
      <w:pPr>
        <w:pStyle w:val="15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outside" w:y="1"/>
      <w:ind w:left="210" w:leftChars="100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－ </w:t>
    </w:r>
    <w:r>
      <w:rPr>
        <w:rStyle w:val="21"/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Style w:val="21"/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4</w:t>
    </w:r>
    <w:r>
      <w:rPr>
        <w:rStyle w:val="21"/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－</w:t>
    </w:r>
  </w:p>
  <w:p>
    <w:pPr>
      <w:pStyle w:val="12"/>
      <w:ind w:right="360" w:firstLine="360"/>
      <w:rPr>
        <w:rFonts w:ascii="宋体" w:hAnsi="宋体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-288" w:firstLine="288"/>
      </w:pPr>
      <w:rPr>
        <w:rFonts w:hint="eastAsia" w:ascii="宋体" w:hAnsi="宋体" w:eastAsia="宋体"/>
        <w:sz w:val="28"/>
        <w:szCs w:val="28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OThjOTcyOGZkNzE4MDNlYjExMDQ0ZmU0M2U0YzMifQ=="/>
  </w:docVars>
  <w:rsids>
    <w:rsidRoot w:val="00172A27"/>
    <w:rsid w:val="00186F9A"/>
    <w:rsid w:val="0075395C"/>
    <w:rsid w:val="007C2754"/>
    <w:rsid w:val="00BE39DE"/>
    <w:rsid w:val="01063F2F"/>
    <w:rsid w:val="013A4168"/>
    <w:rsid w:val="01F018A5"/>
    <w:rsid w:val="01FF51E1"/>
    <w:rsid w:val="0212042C"/>
    <w:rsid w:val="02665D1F"/>
    <w:rsid w:val="027C16B8"/>
    <w:rsid w:val="02CA2696"/>
    <w:rsid w:val="02CE7ED8"/>
    <w:rsid w:val="02D72661"/>
    <w:rsid w:val="03231B33"/>
    <w:rsid w:val="038568B1"/>
    <w:rsid w:val="04052CD2"/>
    <w:rsid w:val="046A4F5A"/>
    <w:rsid w:val="05101E65"/>
    <w:rsid w:val="059E2D61"/>
    <w:rsid w:val="05A221EF"/>
    <w:rsid w:val="06090A43"/>
    <w:rsid w:val="06D81E7E"/>
    <w:rsid w:val="0702412D"/>
    <w:rsid w:val="070E5B8E"/>
    <w:rsid w:val="07465F1D"/>
    <w:rsid w:val="07A13A99"/>
    <w:rsid w:val="07C803BD"/>
    <w:rsid w:val="098D7D07"/>
    <w:rsid w:val="09914CCC"/>
    <w:rsid w:val="09D37D46"/>
    <w:rsid w:val="0A00497C"/>
    <w:rsid w:val="0A416590"/>
    <w:rsid w:val="0ACD0E20"/>
    <w:rsid w:val="0AE43B71"/>
    <w:rsid w:val="0AE66BD8"/>
    <w:rsid w:val="0AFD4F47"/>
    <w:rsid w:val="0B36617C"/>
    <w:rsid w:val="0BEB28E5"/>
    <w:rsid w:val="0BFF6E6A"/>
    <w:rsid w:val="0C191D25"/>
    <w:rsid w:val="0C460451"/>
    <w:rsid w:val="0C6A3A74"/>
    <w:rsid w:val="0CA51BF8"/>
    <w:rsid w:val="0CF84633"/>
    <w:rsid w:val="0CF9301A"/>
    <w:rsid w:val="0D0F6543"/>
    <w:rsid w:val="0D1170D7"/>
    <w:rsid w:val="0D3F3AB1"/>
    <w:rsid w:val="0E0119CA"/>
    <w:rsid w:val="0E3B799D"/>
    <w:rsid w:val="0E8D58EF"/>
    <w:rsid w:val="0E92147E"/>
    <w:rsid w:val="0E9447A7"/>
    <w:rsid w:val="0E945FA7"/>
    <w:rsid w:val="0EAB4F3D"/>
    <w:rsid w:val="0F181A44"/>
    <w:rsid w:val="0F1A64E0"/>
    <w:rsid w:val="0FE976DE"/>
    <w:rsid w:val="10894EE9"/>
    <w:rsid w:val="10BD324F"/>
    <w:rsid w:val="10DC4F92"/>
    <w:rsid w:val="11041724"/>
    <w:rsid w:val="11C82605"/>
    <w:rsid w:val="11D13ACD"/>
    <w:rsid w:val="120A6163"/>
    <w:rsid w:val="126679E3"/>
    <w:rsid w:val="12C17203"/>
    <w:rsid w:val="12F770A1"/>
    <w:rsid w:val="134278D7"/>
    <w:rsid w:val="1373245A"/>
    <w:rsid w:val="139D30C7"/>
    <w:rsid w:val="142E7791"/>
    <w:rsid w:val="1430235A"/>
    <w:rsid w:val="143C4EDC"/>
    <w:rsid w:val="145C0174"/>
    <w:rsid w:val="149C7B8C"/>
    <w:rsid w:val="1538070B"/>
    <w:rsid w:val="15AC05E8"/>
    <w:rsid w:val="15AD71D1"/>
    <w:rsid w:val="16337DFA"/>
    <w:rsid w:val="18D80D2E"/>
    <w:rsid w:val="191602D5"/>
    <w:rsid w:val="19362169"/>
    <w:rsid w:val="1A6E1E0F"/>
    <w:rsid w:val="1A741C95"/>
    <w:rsid w:val="1B1F49AA"/>
    <w:rsid w:val="1B212DC6"/>
    <w:rsid w:val="1BF974E3"/>
    <w:rsid w:val="1C121B47"/>
    <w:rsid w:val="1C176223"/>
    <w:rsid w:val="1C2D4C7B"/>
    <w:rsid w:val="1C3425A1"/>
    <w:rsid w:val="1C864B05"/>
    <w:rsid w:val="1DFE71E1"/>
    <w:rsid w:val="1E8D16A5"/>
    <w:rsid w:val="1EB10EAF"/>
    <w:rsid w:val="1EBA2DD9"/>
    <w:rsid w:val="1F223576"/>
    <w:rsid w:val="20555F76"/>
    <w:rsid w:val="210F504D"/>
    <w:rsid w:val="21300D49"/>
    <w:rsid w:val="219B7D3F"/>
    <w:rsid w:val="21D20835"/>
    <w:rsid w:val="22A61CC2"/>
    <w:rsid w:val="22BC5741"/>
    <w:rsid w:val="232C6BD0"/>
    <w:rsid w:val="23825FAA"/>
    <w:rsid w:val="23B24AE2"/>
    <w:rsid w:val="23F31321"/>
    <w:rsid w:val="247A75F0"/>
    <w:rsid w:val="24C525F3"/>
    <w:rsid w:val="251E499C"/>
    <w:rsid w:val="25385FCD"/>
    <w:rsid w:val="25F70640"/>
    <w:rsid w:val="26D23C06"/>
    <w:rsid w:val="275A34C6"/>
    <w:rsid w:val="278338B5"/>
    <w:rsid w:val="27DB6E50"/>
    <w:rsid w:val="27FF7BCA"/>
    <w:rsid w:val="285F3486"/>
    <w:rsid w:val="28A43970"/>
    <w:rsid w:val="28B44523"/>
    <w:rsid w:val="28CE464D"/>
    <w:rsid w:val="29901236"/>
    <w:rsid w:val="29C16554"/>
    <w:rsid w:val="29C9088E"/>
    <w:rsid w:val="29F16E87"/>
    <w:rsid w:val="29F554B9"/>
    <w:rsid w:val="2A3B1D0C"/>
    <w:rsid w:val="2A3B696E"/>
    <w:rsid w:val="2A500721"/>
    <w:rsid w:val="2A5F42E4"/>
    <w:rsid w:val="2A9E642D"/>
    <w:rsid w:val="2AAE7B1B"/>
    <w:rsid w:val="2AC64341"/>
    <w:rsid w:val="2AF74AFA"/>
    <w:rsid w:val="2BD450D3"/>
    <w:rsid w:val="2BD80E5D"/>
    <w:rsid w:val="2C490FEF"/>
    <w:rsid w:val="2C77727F"/>
    <w:rsid w:val="2C892A75"/>
    <w:rsid w:val="2D2C5D79"/>
    <w:rsid w:val="2DF316F7"/>
    <w:rsid w:val="2E59721E"/>
    <w:rsid w:val="2E9A328C"/>
    <w:rsid w:val="2FAD337E"/>
    <w:rsid w:val="304557D8"/>
    <w:rsid w:val="30640A4A"/>
    <w:rsid w:val="3111559E"/>
    <w:rsid w:val="3196141C"/>
    <w:rsid w:val="31D13ECD"/>
    <w:rsid w:val="31FB296F"/>
    <w:rsid w:val="32274F37"/>
    <w:rsid w:val="323D6CB6"/>
    <w:rsid w:val="32566594"/>
    <w:rsid w:val="325B1341"/>
    <w:rsid w:val="32C336D1"/>
    <w:rsid w:val="330F7309"/>
    <w:rsid w:val="33EE3601"/>
    <w:rsid w:val="357613E0"/>
    <w:rsid w:val="35793605"/>
    <w:rsid w:val="35B8262E"/>
    <w:rsid w:val="35FA4954"/>
    <w:rsid w:val="35FC0710"/>
    <w:rsid w:val="372847D4"/>
    <w:rsid w:val="373140B7"/>
    <w:rsid w:val="37447668"/>
    <w:rsid w:val="38197DBB"/>
    <w:rsid w:val="385A2AE8"/>
    <w:rsid w:val="386E28E3"/>
    <w:rsid w:val="39C809FB"/>
    <w:rsid w:val="3A2C26B1"/>
    <w:rsid w:val="3A564F37"/>
    <w:rsid w:val="3ABE0FD9"/>
    <w:rsid w:val="3AF62875"/>
    <w:rsid w:val="3B5B6F79"/>
    <w:rsid w:val="3B7D63DA"/>
    <w:rsid w:val="3BC01A32"/>
    <w:rsid w:val="3CA202DF"/>
    <w:rsid w:val="3CDF5BC2"/>
    <w:rsid w:val="3D3408C0"/>
    <w:rsid w:val="3D5A3FC9"/>
    <w:rsid w:val="3E031B19"/>
    <w:rsid w:val="3E5C5174"/>
    <w:rsid w:val="3EA44E73"/>
    <w:rsid w:val="3EF1169A"/>
    <w:rsid w:val="3F7C719C"/>
    <w:rsid w:val="3FA173BC"/>
    <w:rsid w:val="40072F65"/>
    <w:rsid w:val="406B234E"/>
    <w:rsid w:val="40AE3E5E"/>
    <w:rsid w:val="40EB606D"/>
    <w:rsid w:val="41031E02"/>
    <w:rsid w:val="410D5EAB"/>
    <w:rsid w:val="414C39F0"/>
    <w:rsid w:val="415C2BE2"/>
    <w:rsid w:val="41E41D8F"/>
    <w:rsid w:val="42F04887"/>
    <w:rsid w:val="435A449F"/>
    <w:rsid w:val="435F0A75"/>
    <w:rsid w:val="438A7134"/>
    <w:rsid w:val="439A472A"/>
    <w:rsid w:val="439B7F2B"/>
    <w:rsid w:val="43A571CF"/>
    <w:rsid w:val="441C7FD3"/>
    <w:rsid w:val="449746A0"/>
    <w:rsid w:val="44CB6BC4"/>
    <w:rsid w:val="44D51C9D"/>
    <w:rsid w:val="45036E8F"/>
    <w:rsid w:val="45906002"/>
    <w:rsid w:val="45C565EC"/>
    <w:rsid w:val="4642261A"/>
    <w:rsid w:val="46486999"/>
    <w:rsid w:val="4692576C"/>
    <w:rsid w:val="47C67CFB"/>
    <w:rsid w:val="47D64153"/>
    <w:rsid w:val="47E62066"/>
    <w:rsid w:val="498B313C"/>
    <w:rsid w:val="49BE6FE3"/>
    <w:rsid w:val="4A192850"/>
    <w:rsid w:val="4A632DA1"/>
    <w:rsid w:val="4A685786"/>
    <w:rsid w:val="4AB07A86"/>
    <w:rsid w:val="4AEA342D"/>
    <w:rsid w:val="4B645C7A"/>
    <w:rsid w:val="4B915B6D"/>
    <w:rsid w:val="4BAA747F"/>
    <w:rsid w:val="4CBE712F"/>
    <w:rsid w:val="4CF82CB6"/>
    <w:rsid w:val="4D0F4255"/>
    <w:rsid w:val="4D2C4661"/>
    <w:rsid w:val="4DDB43B0"/>
    <w:rsid w:val="4DE81745"/>
    <w:rsid w:val="4DF023FF"/>
    <w:rsid w:val="4E400CA4"/>
    <w:rsid w:val="4EAB1174"/>
    <w:rsid w:val="4EB2476F"/>
    <w:rsid w:val="4EC40AAC"/>
    <w:rsid w:val="4EC56BC8"/>
    <w:rsid w:val="4EEE303D"/>
    <w:rsid w:val="4F353A65"/>
    <w:rsid w:val="50106390"/>
    <w:rsid w:val="50161CC6"/>
    <w:rsid w:val="503F55AC"/>
    <w:rsid w:val="508A0853"/>
    <w:rsid w:val="509B3A0B"/>
    <w:rsid w:val="50A11FE0"/>
    <w:rsid w:val="50B2385B"/>
    <w:rsid w:val="513044BE"/>
    <w:rsid w:val="518C1080"/>
    <w:rsid w:val="524730B2"/>
    <w:rsid w:val="5268443A"/>
    <w:rsid w:val="527B3F24"/>
    <w:rsid w:val="52887ADE"/>
    <w:rsid w:val="52905650"/>
    <w:rsid w:val="529344DE"/>
    <w:rsid w:val="52C94061"/>
    <w:rsid w:val="52FB4B21"/>
    <w:rsid w:val="53D15071"/>
    <w:rsid w:val="53E14715"/>
    <w:rsid w:val="543D36A4"/>
    <w:rsid w:val="54433E7E"/>
    <w:rsid w:val="546365A3"/>
    <w:rsid w:val="550579FB"/>
    <w:rsid w:val="55766852"/>
    <w:rsid w:val="559F50D6"/>
    <w:rsid w:val="55D10548"/>
    <w:rsid w:val="56382B7F"/>
    <w:rsid w:val="56E50ACA"/>
    <w:rsid w:val="58994E19"/>
    <w:rsid w:val="58B2488D"/>
    <w:rsid w:val="58C168E5"/>
    <w:rsid w:val="58CE6FC1"/>
    <w:rsid w:val="58D2234C"/>
    <w:rsid w:val="59085977"/>
    <w:rsid w:val="59AF06F9"/>
    <w:rsid w:val="59B05F22"/>
    <w:rsid w:val="59B60656"/>
    <w:rsid w:val="5A380F0D"/>
    <w:rsid w:val="5A91404C"/>
    <w:rsid w:val="5B5372B4"/>
    <w:rsid w:val="5B577A00"/>
    <w:rsid w:val="5C501E2D"/>
    <w:rsid w:val="5C9F2E6D"/>
    <w:rsid w:val="5D274D90"/>
    <w:rsid w:val="5D552408"/>
    <w:rsid w:val="5D8D6F43"/>
    <w:rsid w:val="5D8E1955"/>
    <w:rsid w:val="5E2D5235"/>
    <w:rsid w:val="5E8B68CF"/>
    <w:rsid w:val="5ED45232"/>
    <w:rsid w:val="5F9B3A3F"/>
    <w:rsid w:val="60353AF3"/>
    <w:rsid w:val="60B82A30"/>
    <w:rsid w:val="61A76708"/>
    <w:rsid w:val="61AD053C"/>
    <w:rsid w:val="62DE0931"/>
    <w:rsid w:val="63520F1A"/>
    <w:rsid w:val="63543822"/>
    <w:rsid w:val="637D4B55"/>
    <w:rsid w:val="63E643B8"/>
    <w:rsid w:val="640E4E7E"/>
    <w:rsid w:val="64C94219"/>
    <w:rsid w:val="64EE6A81"/>
    <w:rsid w:val="65586CD4"/>
    <w:rsid w:val="655A40B6"/>
    <w:rsid w:val="656643F7"/>
    <w:rsid w:val="65E25E59"/>
    <w:rsid w:val="65FD37CF"/>
    <w:rsid w:val="66056218"/>
    <w:rsid w:val="66723E06"/>
    <w:rsid w:val="66B17ADD"/>
    <w:rsid w:val="66CB52B7"/>
    <w:rsid w:val="66CD0842"/>
    <w:rsid w:val="66D71C28"/>
    <w:rsid w:val="672F227A"/>
    <w:rsid w:val="678720E2"/>
    <w:rsid w:val="68703912"/>
    <w:rsid w:val="68B87184"/>
    <w:rsid w:val="6919500A"/>
    <w:rsid w:val="6A0532A1"/>
    <w:rsid w:val="6A122A96"/>
    <w:rsid w:val="6A9F0348"/>
    <w:rsid w:val="6AA60402"/>
    <w:rsid w:val="6B33079D"/>
    <w:rsid w:val="6B533A81"/>
    <w:rsid w:val="6C140486"/>
    <w:rsid w:val="6C506490"/>
    <w:rsid w:val="6C6966AA"/>
    <w:rsid w:val="6C792B2B"/>
    <w:rsid w:val="6C992961"/>
    <w:rsid w:val="6D084F7C"/>
    <w:rsid w:val="6D441C7B"/>
    <w:rsid w:val="6D8D693E"/>
    <w:rsid w:val="6E080A13"/>
    <w:rsid w:val="6E4808DF"/>
    <w:rsid w:val="6E645439"/>
    <w:rsid w:val="6E886857"/>
    <w:rsid w:val="6EA24C9E"/>
    <w:rsid w:val="6F3256B4"/>
    <w:rsid w:val="6F92331A"/>
    <w:rsid w:val="6F9D18BF"/>
    <w:rsid w:val="6FB4694C"/>
    <w:rsid w:val="6FEC30CC"/>
    <w:rsid w:val="705D3F31"/>
    <w:rsid w:val="70726E22"/>
    <w:rsid w:val="707D0BEC"/>
    <w:rsid w:val="70A37393"/>
    <w:rsid w:val="70BB445C"/>
    <w:rsid w:val="711E7A05"/>
    <w:rsid w:val="71737F52"/>
    <w:rsid w:val="72372D87"/>
    <w:rsid w:val="72724264"/>
    <w:rsid w:val="727A6A13"/>
    <w:rsid w:val="72D45B14"/>
    <w:rsid w:val="72D72911"/>
    <w:rsid w:val="73104330"/>
    <w:rsid w:val="73A75F77"/>
    <w:rsid w:val="73CD6508"/>
    <w:rsid w:val="73F65F6A"/>
    <w:rsid w:val="74CD2380"/>
    <w:rsid w:val="750F3DE0"/>
    <w:rsid w:val="757006DB"/>
    <w:rsid w:val="75970AFD"/>
    <w:rsid w:val="75ED4AD2"/>
    <w:rsid w:val="75FD4DF0"/>
    <w:rsid w:val="76A06818"/>
    <w:rsid w:val="77316C5C"/>
    <w:rsid w:val="773C186D"/>
    <w:rsid w:val="774C443D"/>
    <w:rsid w:val="777A449D"/>
    <w:rsid w:val="778F3545"/>
    <w:rsid w:val="77F83326"/>
    <w:rsid w:val="78542BE7"/>
    <w:rsid w:val="78957EF8"/>
    <w:rsid w:val="78EF226A"/>
    <w:rsid w:val="79705CA0"/>
    <w:rsid w:val="79863E66"/>
    <w:rsid w:val="79B1459D"/>
    <w:rsid w:val="79D47902"/>
    <w:rsid w:val="7A6823CB"/>
    <w:rsid w:val="7A701748"/>
    <w:rsid w:val="7A8D43B8"/>
    <w:rsid w:val="7A9B392D"/>
    <w:rsid w:val="7AA90CC8"/>
    <w:rsid w:val="7B7B7846"/>
    <w:rsid w:val="7B8F152B"/>
    <w:rsid w:val="7B936F76"/>
    <w:rsid w:val="7BA568F0"/>
    <w:rsid w:val="7BB763C6"/>
    <w:rsid w:val="7C3866D8"/>
    <w:rsid w:val="7C724BD9"/>
    <w:rsid w:val="7D7C4771"/>
    <w:rsid w:val="7D9309C4"/>
    <w:rsid w:val="7DC6000E"/>
    <w:rsid w:val="7E0F492A"/>
    <w:rsid w:val="7E181679"/>
    <w:rsid w:val="7E1A7217"/>
    <w:rsid w:val="7F074B4D"/>
    <w:rsid w:val="7F4D3459"/>
    <w:rsid w:val="7F9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0"/>
    <w:pPr>
      <w:jc w:val="center"/>
    </w:pPr>
    <w:rPr>
      <w:spacing w:val="-20"/>
      <w:sz w:val="44"/>
    </w:r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11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5">
    <w:name w:val="index 1"/>
    <w:basedOn w:val="1"/>
    <w:next w:val="1"/>
    <w:qFormat/>
    <w:uiPriority w:val="99"/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BodyText1I2"/>
    <w:basedOn w:val="24"/>
    <w:qFormat/>
    <w:uiPriority w:val="0"/>
    <w:pPr>
      <w:spacing w:line="560" w:lineRule="exact"/>
      <w:ind w:firstLine="420" w:firstLineChars="200"/>
    </w:pPr>
    <w:rPr>
      <w:rFonts w:ascii="Calibri" w:hAnsi="Calibri"/>
    </w:rPr>
  </w:style>
  <w:style w:type="paragraph" w:customStyle="1" w:styleId="24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character" w:customStyle="1" w:styleId="25">
    <w:name w:val="UserStyle_0"/>
    <w:link w:val="26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6">
    <w:name w:val="UserStyle_1"/>
    <w:basedOn w:val="1"/>
    <w:link w:val="25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7">
    <w:name w:val="UserStyle_2"/>
    <w:link w:val="28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28">
    <w:name w:val="UserStyle_3"/>
    <w:basedOn w:val="1"/>
    <w:link w:val="27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29">
    <w:name w:val="UserStyle_4"/>
    <w:qFormat/>
    <w:uiPriority w:val="0"/>
    <w:rPr>
      <w:rFonts w:ascii="Calibri" w:hAnsi="Calibri" w:eastAsia="宋体"/>
    </w:rPr>
  </w:style>
  <w:style w:type="character" w:customStyle="1" w:styleId="30">
    <w:name w:val="NormalCharacter"/>
    <w:qFormat/>
    <w:uiPriority w:val="0"/>
  </w:style>
  <w:style w:type="character" w:customStyle="1" w:styleId="31">
    <w:name w:val="font4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2">
    <w:name w:val="font3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3">
    <w:name w:val="font2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5">
    <w:name w:val="font11"/>
    <w:basedOn w:val="19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1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8">
    <w:name w:val="font13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9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0">
    <w:name w:val="UserStyle_7"/>
    <w:qFormat/>
    <w:uiPriority w:val="0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41">
    <w:name w:val="NormalIndent"/>
    <w:basedOn w:val="1"/>
    <w:qFormat/>
    <w:uiPriority w:val="0"/>
    <w:pPr>
      <w:ind w:firstLine="420" w:firstLineChars="200"/>
    </w:pPr>
  </w:style>
  <w:style w:type="table" w:customStyle="1" w:styleId="4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573</Words>
  <Characters>712</Characters>
  <Lines>0</Lines>
  <Paragraphs>0</Paragraphs>
  <TotalTime>0</TotalTime>
  <ScaleCrop>false</ScaleCrop>
  <LinksUpToDate>false</LinksUpToDate>
  <CharactersWithSpaces>845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2022-01-10T23:51:00Z</dcterms:created>
  <dc:creator>hp</dc:creator>
  <cp:lastModifiedBy>ff8080816dcd9c74016dcdd760dd0133</cp:lastModifiedBy>
  <dcterms:modified xsi:type="dcterms:W3CDTF">2022-06-06T02:05:44Z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28A201C88DFC479684D0679D68EA4A06</vt:lpwstr>
  </property>
</Properties>
</file>