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b w:val="0"/>
          <w:bCs w:val="0"/>
          <w:sz w:val="32"/>
          <w:szCs w:val="28"/>
          <w:lang w:val="en-US" w:eastAsia="zh-CN"/>
        </w:rPr>
      </w:pPr>
      <w:r>
        <w:rPr>
          <w:rFonts w:hint="eastAsia" w:ascii="黑体" w:hAnsi="黑体" w:eastAsia="黑体" w:cs="黑体"/>
          <w:b w:val="0"/>
          <w:bCs w:val="0"/>
          <w:sz w:val="32"/>
          <w:szCs w:val="28"/>
          <w:lang w:eastAsia="zh-CN"/>
        </w:rPr>
        <w:t>附件</w:t>
      </w:r>
      <w:r>
        <w:rPr>
          <w:rFonts w:hint="eastAsia" w:ascii="黑体" w:hAnsi="黑体" w:eastAsia="黑体" w:cs="黑体"/>
          <w:b w:val="0"/>
          <w:bCs w:val="0"/>
          <w:sz w:val="32"/>
          <w:szCs w:val="28"/>
          <w:lang w:val="en-US" w:eastAsia="zh-CN"/>
        </w:rPr>
        <w:t>1</w:t>
      </w:r>
    </w:p>
    <w:p>
      <w:pPr>
        <w:pStyle w:val="11"/>
        <w:widowControl/>
        <w:spacing w:before="0" w:beforeAutospacing="0" w:after="0" w:afterAutospacing="0"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申请人须知、评分标准和评分方法</w:t>
      </w:r>
    </w:p>
    <w:p>
      <w:pPr>
        <w:spacing w:line="360" w:lineRule="auto"/>
        <w:jc w:val="both"/>
        <w:rPr>
          <w:rFonts w:ascii="仿宋" w:hAnsi="仿宋" w:eastAsia="仿宋" w:cs="宋体"/>
          <w:b/>
          <w:bCs/>
          <w:sz w:val="32"/>
          <w:szCs w:val="28"/>
        </w:rPr>
      </w:pPr>
    </w:p>
    <w:p>
      <w:pPr>
        <w:spacing w:line="360" w:lineRule="auto"/>
        <w:jc w:val="both"/>
        <w:rPr>
          <w:rFonts w:ascii="仿宋" w:hAnsi="仿宋" w:eastAsia="仿宋" w:cs="宋体"/>
          <w:b/>
          <w:bCs/>
          <w:sz w:val="32"/>
          <w:szCs w:val="28"/>
        </w:rPr>
      </w:pPr>
      <w:r>
        <w:rPr>
          <w:rFonts w:ascii="仿宋" w:hAnsi="仿宋" w:eastAsia="仿宋" w:cs="宋体"/>
          <w:b/>
          <w:bCs/>
          <w:sz w:val="32"/>
          <w:szCs w:val="28"/>
        </w:rPr>
        <w:t>申请人须知</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1、遴选响应文件签署和盖章要求：遴选响应文件需打印或用不退色墨水书写，由申请人的法定代表人或其授权代表在遴选文件规定的地方签字，并进行逐页盖章或加盖骑缝章。</w:t>
      </w: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Cs/>
          <w:sz w:val="28"/>
          <w:szCs w:val="28"/>
        </w:rPr>
        <w:t>2、遴选小组对申请人的遴选响应文件进行商务审查，以确定其是否满足遴选文件的实质性要求，并形成商务审查结果。申请人有任何一项不符合《商务审查表》要求的，</w:t>
      </w:r>
      <w:r>
        <w:rPr>
          <w:rFonts w:hint="eastAsia" w:ascii="仿宋_GB2312" w:hAnsi="仿宋_GB2312" w:eastAsia="仿宋_GB2312" w:cs="仿宋_GB2312"/>
          <w:b/>
          <w:bCs/>
          <w:sz w:val="28"/>
          <w:szCs w:val="28"/>
        </w:rPr>
        <w:t>遴选响应无效。</w:t>
      </w:r>
    </w:p>
    <w:p>
      <w:pPr>
        <w:spacing w:line="360" w:lineRule="auto"/>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商务审查表</w:t>
      </w:r>
    </w:p>
    <w:tbl>
      <w:tblPr>
        <w:tblStyle w:val="18"/>
        <w:tblW w:w="8925" w:type="dxa"/>
        <w:tblInd w:w="0" w:type="dxa"/>
        <w:tblLayout w:type="fixed"/>
        <w:tblCellMar>
          <w:top w:w="0" w:type="dxa"/>
          <w:left w:w="108" w:type="dxa"/>
          <w:bottom w:w="0" w:type="dxa"/>
          <w:right w:w="108" w:type="dxa"/>
        </w:tblCellMar>
      </w:tblPr>
      <w:tblGrid>
        <w:gridCol w:w="1153"/>
        <w:gridCol w:w="4230"/>
        <w:gridCol w:w="3542"/>
      </w:tblGrid>
      <w:tr>
        <w:tblPrEx>
          <w:tblLayout w:type="fixed"/>
          <w:tblCellMar>
            <w:top w:w="0" w:type="dxa"/>
            <w:left w:w="108" w:type="dxa"/>
            <w:bottom w:w="0" w:type="dxa"/>
            <w:right w:w="108" w:type="dxa"/>
          </w:tblCellMar>
        </w:tblPrEx>
        <w:trPr>
          <w:trHeight w:val="840" w:hRule="atLeast"/>
        </w:trPr>
        <w:tc>
          <w:tcPr>
            <w:tcW w:w="11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77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8"/>
                <w:szCs w:val="28"/>
              </w:rPr>
              <w:t>审查内容</w:t>
            </w:r>
          </w:p>
        </w:tc>
      </w:tr>
      <w:tr>
        <w:tblPrEx>
          <w:tblLayout w:type="fixed"/>
          <w:tblCellMar>
            <w:top w:w="0" w:type="dxa"/>
            <w:left w:w="108" w:type="dxa"/>
            <w:bottom w:w="0" w:type="dxa"/>
            <w:right w:w="108" w:type="dxa"/>
          </w:tblCellMar>
        </w:tblPrEx>
        <w:trPr>
          <w:trHeight w:val="668" w:hRule="atLeast"/>
        </w:trPr>
        <w:tc>
          <w:tcPr>
            <w:tcW w:w="11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7772" w:type="dxa"/>
            <w:gridSpan w:val="2"/>
            <w:tcBorders>
              <w:top w:val="nil"/>
              <w:left w:val="single" w:color="000000"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遴选报价是否超过遴选文件规定预算金额</w:t>
            </w:r>
          </w:p>
        </w:tc>
      </w:tr>
      <w:tr>
        <w:tblPrEx>
          <w:tblLayout w:type="fixed"/>
          <w:tblCellMar>
            <w:top w:w="0" w:type="dxa"/>
            <w:left w:w="108" w:type="dxa"/>
            <w:bottom w:w="0" w:type="dxa"/>
            <w:right w:w="108" w:type="dxa"/>
          </w:tblCellMar>
        </w:tblPrEx>
        <w:trPr>
          <w:trHeight w:val="706" w:hRule="atLeast"/>
        </w:trPr>
        <w:tc>
          <w:tcPr>
            <w:tcW w:w="11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7772" w:type="dxa"/>
            <w:gridSpan w:val="2"/>
            <w:tcBorders>
              <w:top w:val="nil"/>
              <w:left w:val="single" w:color="000000"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遴选文件的签署、盖章是否合格</w:t>
            </w:r>
          </w:p>
        </w:tc>
      </w:tr>
      <w:tr>
        <w:tblPrEx>
          <w:tblLayout w:type="fixed"/>
          <w:tblCellMar>
            <w:top w:w="0" w:type="dxa"/>
            <w:left w:w="108" w:type="dxa"/>
            <w:bottom w:w="0" w:type="dxa"/>
            <w:right w:w="108" w:type="dxa"/>
          </w:tblCellMar>
        </w:tblPrEx>
        <w:trPr>
          <w:trHeight w:val="830" w:hRule="atLeast"/>
        </w:trPr>
        <w:tc>
          <w:tcPr>
            <w:tcW w:w="115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w:t>
            </w:r>
          </w:p>
        </w:tc>
        <w:tc>
          <w:tcPr>
            <w:tcW w:w="7772"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是否提供满足遴选文件中要求的申请人资格要求的承诺函</w:t>
            </w:r>
          </w:p>
        </w:tc>
      </w:tr>
      <w:tr>
        <w:tblPrEx>
          <w:tblLayout w:type="fixed"/>
          <w:tblCellMar>
            <w:top w:w="0" w:type="dxa"/>
            <w:left w:w="108" w:type="dxa"/>
            <w:bottom w:w="0" w:type="dxa"/>
            <w:right w:w="108" w:type="dxa"/>
          </w:tblCellMar>
        </w:tblPrEx>
        <w:trPr>
          <w:trHeight w:val="765" w:hRule="atLeast"/>
        </w:trPr>
        <w:tc>
          <w:tcPr>
            <w:tcW w:w="538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结论</w:t>
            </w:r>
          </w:p>
        </w:tc>
        <w:tc>
          <w:tcPr>
            <w:tcW w:w="35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合格/不合格</w:t>
            </w:r>
          </w:p>
        </w:tc>
      </w:tr>
    </w:tbl>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遴选响应文件有关事项的澄清或者说明：评审过程中，遴选小组会将以书面形式要求申请人对其遴选响应文件中含义不明确、同类问题表述不一致或者有明显文字和计算错误的内容，作出必要的澄清、说明或者补正。申请人的澄清、说明或者补正应当采用书面形式，并加盖公章，或者由法定代表人或其授权的代表签字。申请人的澄清、说明或者补正不得超出遴选文件的范围或者改变遴选文件的实质性内容。澄清文件将作为遴选文件内容的一部分。</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本项目采用的评标方法为综合评分法。采用综合评分法时，评审结果按评审后得分由高到低顺序排列。得分相同的，按遴选响应报价由低到高顺序排列。得分且遴选响应报价相同的并列。遴选响应文件满足遴选文件全部实质性要求，且按照评审因素的量化指标评审得分最高的申请人为排名第一的</w:t>
      </w:r>
      <w:r>
        <w:rPr>
          <w:rFonts w:hint="eastAsia" w:ascii="仿宋_GB2312" w:hAnsi="仿宋_GB2312" w:eastAsia="仿宋_GB2312" w:cs="仿宋_GB2312"/>
          <w:b/>
          <w:bCs/>
          <w:sz w:val="28"/>
          <w:szCs w:val="28"/>
        </w:rPr>
        <w:t>成交候选人</w:t>
      </w:r>
      <w:r>
        <w:rPr>
          <w:rFonts w:hint="eastAsia" w:ascii="仿宋_GB2312" w:hAnsi="仿宋_GB2312" w:eastAsia="仿宋_GB2312" w:cs="仿宋_GB2312"/>
          <w:bCs/>
          <w:sz w:val="28"/>
          <w:szCs w:val="28"/>
        </w:rPr>
        <w:t>。</w:t>
      </w:r>
      <w:r>
        <w:rPr>
          <w:rFonts w:hint="eastAsia" w:ascii="仿宋_GB2312" w:hAnsi="仿宋_GB2312" w:eastAsia="仿宋_GB2312" w:cs="仿宋_GB2312"/>
          <w:b/>
          <w:bCs/>
          <w:sz w:val="28"/>
          <w:szCs w:val="28"/>
        </w:rPr>
        <w:t>由各业务处室最终决定成交申请人。</w:t>
      </w:r>
      <w:r>
        <w:rPr>
          <w:rFonts w:hint="eastAsia" w:ascii="仿宋_GB2312" w:hAnsi="仿宋_GB2312" w:eastAsia="仿宋_GB2312" w:cs="仿宋_GB2312"/>
          <w:bCs/>
          <w:sz w:val="28"/>
          <w:szCs w:val="28"/>
        </w:rPr>
        <w:t>评分分值计算保留小数点后两位，第三位四舍五入。</w:t>
      </w:r>
    </w:p>
    <w:p>
      <w:pPr>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5、成交供应商拒绝与采购人签订合同的，采购人可以按照评审报告推荐的成交候选人名单排序，确定下一候选人为成交供应商，也可以重新开展政府采购活动。</w:t>
      </w:r>
    </w:p>
    <w:p>
      <w:pPr>
        <w:widowControl/>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br w:type="page"/>
      </w:r>
    </w:p>
    <w:p>
      <w:pPr>
        <w:pStyle w:val="11"/>
        <w:widowControl/>
        <w:spacing w:before="0" w:beforeAutospacing="0" w:after="0" w:afterAutospacing="0" w:line="540" w:lineRule="exact"/>
        <w:jc w:val="center"/>
        <w:rPr>
          <w:rFonts w:hint="eastAsia" w:ascii="方正小标宋简体" w:hAnsi="方正小标宋简体" w:eastAsia="方正小标宋简体" w:cs="方正小标宋简体"/>
          <w:sz w:val="44"/>
          <w:szCs w:val="44"/>
        </w:rPr>
      </w:pPr>
    </w:p>
    <w:p>
      <w:pPr>
        <w:pStyle w:val="11"/>
        <w:widowControl/>
        <w:spacing w:before="0" w:beforeAutospacing="0" w:after="0" w:afterAutospacing="0"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采购需求</w:t>
      </w:r>
    </w:p>
    <w:p>
      <w:pPr>
        <w:keepNext w:val="0"/>
        <w:keepLines w:val="0"/>
        <w:pageBreakBefore w:val="0"/>
        <w:numPr>
          <w:ilvl w:val="0"/>
          <w:numId w:val="0"/>
        </w:numPr>
        <w:kinsoku/>
        <w:wordWrap/>
        <w:overflowPunct/>
        <w:topLinePunct w:val="0"/>
        <w:bidi w:val="0"/>
        <w:adjustRightInd/>
        <w:spacing w:line="560" w:lineRule="exact"/>
        <w:jc w:val="both"/>
        <w:textAlignment w:val="auto"/>
        <w:outlineLvl w:val="9"/>
        <w:rPr>
          <w:rFonts w:hint="eastAsia" w:ascii="黑体" w:hAnsi="黑体" w:eastAsia="黑体" w:cs="黑体"/>
          <w:b w:val="0"/>
          <w:bCs/>
          <w:sz w:val="32"/>
          <w:szCs w:val="32"/>
        </w:rPr>
      </w:pPr>
    </w:p>
    <w:p>
      <w:pPr>
        <w:keepNext w:val="0"/>
        <w:keepLines w:val="0"/>
        <w:pageBreakBefore w:val="0"/>
        <w:numPr>
          <w:ilvl w:val="0"/>
          <w:numId w:val="0"/>
        </w:numPr>
        <w:kinsoku/>
        <w:wordWrap/>
        <w:overflowPunct/>
        <w:topLinePunct w:val="0"/>
        <w:bidi w:val="0"/>
        <w:adjustRightInd/>
        <w:spacing w:line="560" w:lineRule="exact"/>
        <w:ind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采购标的</w:t>
      </w:r>
    </w:p>
    <w:p>
      <w:pPr>
        <w:keepNext w:val="0"/>
        <w:keepLines w:val="0"/>
        <w:pageBreakBefore w:val="0"/>
        <w:kinsoku/>
        <w:wordWrap/>
        <w:overflowPunct/>
        <w:topLinePunct w:val="0"/>
        <w:bidi w:val="0"/>
        <w:adjustRightInd/>
        <w:spacing w:line="560" w:lineRule="exact"/>
        <w:ind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（一）项目背景</w:t>
      </w: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中华人民共和国疫苗管理法》，按照国家及本市预防接种管理文件要求，进一步提高财政资金使用效率、分散政府风险负担，做好全市免疫规划疫苗受种者预防接种异常反应保险补偿及其他相关服务，现面向社会公开遴选2022年北京市预防接种异常反应保险保障项目（以下简称“本项目”）承担单位。</w:t>
      </w:r>
    </w:p>
    <w:p>
      <w:pPr>
        <w:keepNext w:val="0"/>
        <w:keepLines w:val="0"/>
        <w:pageBreakBefore w:val="0"/>
        <w:kinsoku/>
        <w:wordWrap/>
        <w:overflowPunct/>
        <w:topLinePunct w:val="0"/>
        <w:bidi w:val="0"/>
        <w:adjustRightInd/>
        <w:spacing w:line="560" w:lineRule="exact"/>
        <w:ind w:firstLine="562" w:firstLineChars="200"/>
        <w:jc w:val="both"/>
        <w:textAlignment w:val="auto"/>
        <w:outlineLvl w:val="9"/>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（二）项目适用范围</w:t>
      </w: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本项目中，在北京市行政区域内，受种者接种免疫规划疫苗后发生疑似预防接种异常反应，经调查、诊断，最终结论属于预防接种异常反应或不能排除的，项目承担单位须负责在保险期限内对受种者的保险补偿，并提供疑似预防接种异常反应的相关服务。</w:t>
      </w:r>
    </w:p>
    <w:p>
      <w:pPr>
        <w:keepNext w:val="0"/>
        <w:keepLines w:val="0"/>
        <w:pageBreakBefore w:val="0"/>
        <w:numPr>
          <w:ilvl w:val="0"/>
          <w:numId w:val="0"/>
        </w:numPr>
        <w:kinsoku/>
        <w:wordWrap/>
        <w:overflowPunct/>
        <w:topLinePunct w:val="0"/>
        <w:bidi w:val="0"/>
        <w:adjustRightInd/>
        <w:spacing w:line="560" w:lineRule="exact"/>
        <w:ind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二、商务要求</w:t>
      </w: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1.被保险人：是指于2022年1月1日至2022年12月31日，在北京市行政区域内接种免疫规划疫苗发生异常反应，并受保险协议保障、享有保险金请求权的所有受种者。</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2.采购金额支付时间：甲方于签署合同后30日内向乙方指定的账户支付当期采购费用。</w:t>
      </w:r>
    </w:p>
    <w:p>
      <w:pPr>
        <w:keepNext w:val="0"/>
        <w:keepLines w:val="0"/>
        <w:pageBreakBefore w:val="0"/>
        <w:numPr>
          <w:ilvl w:val="0"/>
          <w:numId w:val="0"/>
        </w:numPr>
        <w:kinsoku/>
        <w:wordWrap/>
        <w:overflowPunct/>
        <w:topLinePunct w:val="0"/>
        <w:bidi w:val="0"/>
        <w:adjustRightInd/>
        <w:spacing w:line="560" w:lineRule="exact"/>
        <w:ind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三、技术要求</w:t>
      </w:r>
    </w:p>
    <w:p>
      <w:pPr>
        <w:keepNext w:val="0"/>
        <w:keepLines w:val="0"/>
        <w:pageBreakBefore w:val="0"/>
        <w:kinsoku/>
        <w:wordWrap/>
        <w:overflowPunct/>
        <w:topLinePunct w:val="0"/>
        <w:bidi w:val="0"/>
        <w:adjustRightInd/>
        <w:snapToGrid w:val="0"/>
        <w:spacing w:line="560" w:lineRule="exact"/>
        <w:ind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（一）供应商需满足如下保障项目及标准：</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预防接种异常反应的补偿金额按照下列项目和标准计算：</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医疗费：预防接种异常反应损害程度等级评定之日以前2年内，受种者在医疗保险或新农合定点非营利性医疗机构因诊治、康复预防接种异常反应相关疾病实际支出的基本医疗费用，在由城镇职工医疗保险基金、城镇居民医疗保险基金、新型农村合作医疗基金以及医疗救助资金等医疗保障制度报销后的个人自付部分(国际、特需除外)，凭可提供的原始收费单据或相关报销审批单支付。</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误工费：指受种者在治疗期间本人或其家属(按1人计算)的陪护误工费。根据受种者的实际误工时间，按照发生预防接种异常反应时上一年度北京市职工年平均工资计算；误工时间根据受种者接受治疗的诊疗资料确定；受种者因病致残持续误工的，误工时间可以计算至预防接种异常反应损害等级评定之日前1日，最长不超过20年。</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3）护理费：需要专人陪护的，按照发生预防接种异常反应时北京市因公致残返城知青护理费标准计算，按照1人计算，最长不超过20年。</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残疾生活补助费：根据受种者损害程度等级(一至十级损害程度等级补偿系数分别为100％-10％)，按照发生预防接种异常反应时北京市上一年度城镇居民人均可支配收入计算，自预防接种异常反应损害程度等级确定之日起，补偿20年。六十周岁以上的，年龄每增加一岁减少一年；七十五周岁以上的，按五年计算。</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5）残疾生活辅助具费：受种者需要配置补偿功能器具的，凭医疗机构证明或者预防接种异常反应鉴定书中的医疗护理建议，按国产普通适用型器具配置，需更换的按4次计算。</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6）其他与预防接种异常反应调查诊断、鉴定有关的检查检验费用、预防接种异常反应鉴定费、损害程度等级评定费凭据支付。</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因预防接种异常反应造成受种者死亡的，补偿金额按照下列项目和标准计算：</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1）死亡补偿金按照发生预防接种异常反应时北京市上一年度城镇居民人均可支配收入计算，补偿20年。六十周岁以上的，年龄每增加一岁减少一年；七十五周岁以上的，按五年计算。</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2）丧葬费按照本市有关规定的丧葬费补助标准计算。</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3）尸检费用按照实际支出凭据支付。</w:t>
      </w:r>
    </w:p>
    <w:p>
      <w:pPr>
        <w:keepNext w:val="0"/>
        <w:keepLines w:val="0"/>
        <w:pageBreakBefore w:val="0"/>
        <w:tabs>
          <w:tab w:val="left" w:pos="2160"/>
        </w:tabs>
        <w:kinsoku/>
        <w:wordWrap/>
        <w:overflowPunct/>
        <w:topLinePunct w:val="0"/>
        <w:autoSpaceDE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4）受种者死亡前因诊治、康复预防接种异常反应相关疾病实际支出的医疗费、误工费、护理费、残疾生活辅助具费等参照“1”中的规定计算。</w:t>
      </w:r>
    </w:p>
    <w:p>
      <w:pPr>
        <w:keepNext w:val="0"/>
        <w:keepLines w:val="0"/>
        <w:pageBreakBefore w:val="0"/>
        <w:widowControl/>
        <w:kinsoku/>
        <w:wordWrap/>
        <w:overflowPunct/>
        <w:topLinePunct w:val="0"/>
        <w:bidi w:val="0"/>
        <w:adjustRightInd/>
        <w:spacing w:line="56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sz w:val="28"/>
          <w:szCs w:val="28"/>
        </w:rPr>
        <w:t>名词释义</w:t>
      </w:r>
    </w:p>
    <w:p>
      <w:pPr>
        <w:keepNext w:val="0"/>
        <w:keepLines w:val="0"/>
        <w:pageBreakBefore w:val="0"/>
        <w:kinsoku/>
        <w:wordWrap/>
        <w:overflowPunct/>
        <w:topLinePunct w:val="0"/>
        <w:bidi w:val="0"/>
        <w:adjustRightInd/>
        <w:snapToGrid w:val="0"/>
        <w:spacing w:line="560" w:lineRule="exact"/>
        <w:ind w:firstLine="562"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 xml:space="preserve">1.预防接种异常反应发生 </w:t>
      </w:r>
      <w:r>
        <w:rPr>
          <w:rFonts w:hint="eastAsia" w:ascii="仿宋_GB2312" w:hAnsi="仿宋_GB2312" w:eastAsia="仿宋_GB2312" w:cs="仿宋_GB2312"/>
          <w:color w:val="000000"/>
          <w:sz w:val="28"/>
          <w:szCs w:val="28"/>
        </w:rPr>
        <w:t>是指受种者首次出现预防接种异常反应相关症状的时间点。</w:t>
      </w:r>
    </w:p>
    <w:p>
      <w:pPr>
        <w:keepNext w:val="0"/>
        <w:keepLines w:val="0"/>
        <w:pageBreakBefore w:val="0"/>
        <w:kinsoku/>
        <w:wordWrap/>
        <w:overflowPunct/>
        <w:topLinePunct w:val="0"/>
        <w:bidi w:val="0"/>
        <w:adjustRightInd/>
        <w:snapToGrid w:val="0"/>
        <w:spacing w:line="560" w:lineRule="exact"/>
        <w:ind w:firstLine="562"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2.需要专人陪护的 </w:t>
      </w:r>
      <w:r>
        <w:rPr>
          <w:rFonts w:hint="eastAsia" w:ascii="仿宋_GB2312" w:hAnsi="仿宋_GB2312" w:eastAsia="仿宋_GB2312" w:cs="仿宋_GB2312"/>
          <w:color w:val="000000"/>
          <w:sz w:val="28"/>
          <w:szCs w:val="28"/>
        </w:rPr>
        <w:t>按相关规定，“需要专人陪护的”是指被保险人预防接种异常反应损害程度等级评定为一至四级之情形。</w:t>
      </w:r>
    </w:p>
    <w:p>
      <w:pPr>
        <w:keepNext w:val="0"/>
        <w:keepLines w:val="0"/>
        <w:pageBreakBefore w:val="0"/>
        <w:kinsoku/>
        <w:wordWrap/>
        <w:overflowPunct/>
        <w:topLinePunct w:val="0"/>
        <w:bidi w:val="0"/>
        <w:adjustRightInd/>
        <w:snapToGrid w:val="0"/>
        <w:spacing w:line="560" w:lineRule="exact"/>
        <w:ind w:firstLine="560" w:firstLineChars="200"/>
        <w:jc w:val="both"/>
        <w:textAlignment w:val="auto"/>
        <w:outlineLvl w:val="9"/>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以上内容未包含的地方，以《北京市预防接种异常反应补偿办法（试行）》（</w:t>
      </w:r>
      <w:r>
        <w:rPr>
          <w:rFonts w:hint="eastAsia" w:ascii="仿宋_GB2312" w:hAnsi="仿宋_GB2312" w:eastAsia="仿宋_GB2312" w:cs="仿宋_GB2312"/>
          <w:sz w:val="28"/>
          <w:szCs w:val="28"/>
        </w:rPr>
        <w:t>京卫疾控字〔2012〕29号文</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的规定为参考。</w:t>
      </w:r>
    </w:p>
    <w:p>
      <w:pPr>
        <w:keepNext w:val="0"/>
        <w:keepLines w:val="0"/>
        <w:pageBreakBefore w:val="0"/>
        <w:kinsoku/>
        <w:wordWrap/>
        <w:overflowPunct/>
        <w:topLinePunct w:val="0"/>
        <w:bidi w:val="0"/>
        <w:adjustRightInd/>
        <w:snapToGrid w:val="0"/>
        <w:spacing w:line="560" w:lineRule="exact"/>
        <w:ind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color w:val="000000"/>
          <w:sz w:val="28"/>
          <w:szCs w:val="28"/>
        </w:rPr>
        <w:t>（二）</w:t>
      </w:r>
      <w:r>
        <w:rPr>
          <w:rFonts w:hint="eastAsia" w:ascii="仿宋_GB2312" w:hAnsi="仿宋_GB2312" w:eastAsia="仿宋_GB2312" w:cs="仿宋_GB2312"/>
          <w:b/>
          <w:sz w:val="28"/>
          <w:szCs w:val="28"/>
        </w:rPr>
        <w:t>保险理赔过程基本服务需求</w:t>
      </w:r>
    </w:p>
    <w:p>
      <w:pPr>
        <w:keepNext w:val="0"/>
        <w:keepLines w:val="0"/>
        <w:pageBreakBefore w:val="0"/>
        <w:shd w:val="solid" w:color="FFFFFF" w:fill="auto"/>
        <w:kinsoku/>
        <w:wordWrap/>
        <w:overflowPunct/>
        <w:topLinePunct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1.保险人应提供24小时客服电话服务，以及疫苗接种专属服务热线。</w:t>
      </w:r>
    </w:p>
    <w:p>
      <w:pPr>
        <w:keepNext w:val="0"/>
        <w:keepLines w:val="0"/>
        <w:pageBreakBefore w:val="0"/>
        <w:shd w:val="solid" w:color="FFFFFF" w:fill="auto"/>
        <w:kinsoku/>
        <w:wordWrap/>
        <w:overflowPunct/>
        <w:topLinePunct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保险人接到报案后，应在规定时限内通知接种门诊并同时委派专人联系被保险人，指导被保险人进行疑似预防接种异常反应报告、及时就医，有专人全程指导进行调查、诊断、鉴定和损害程度分级评定，并实时追踪诊断、鉴定与损害程度评定机构的信息，专人负责与被保险人沟通确认诊断、鉴定与损害程度分级结果。</w:t>
      </w:r>
    </w:p>
    <w:p>
      <w:pPr>
        <w:keepNext w:val="0"/>
        <w:keepLines w:val="0"/>
        <w:pageBreakBefore w:val="0"/>
        <w:shd w:val="solid" w:color="FFFFFF" w:fill="auto"/>
        <w:kinsoku/>
        <w:wordWrap/>
        <w:overflowPunct/>
        <w:topLinePunct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3.每例异常反应病例有明确诊断或鉴定结论后，保险人应在收齐相关资料后，15个工作日内依据保险条款理算保险金，并应于5个工作日内给付保险金。</w:t>
      </w:r>
    </w:p>
    <w:p>
      <w:pPr>
        <w:keepNext w:val="0"/>
        <w:keepLines w:val="0"/>
        <w:pageBreakBefore w:val="0"/>
        <w:shd w:val="solid" w:color="FFFFFF" w:fill="auto"/>
        <w:kinsoku/>
        <w:wordWrap/>
        <w:overflowPunct/>
        <w:topLinePunct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4.被保险人领取保险金时，保险人同时委派专人根据其情况进行就医、就学、就业、伤残保障和救济等相应政策的指导，使其尽可能得到政策帮扶。</w:t>
      </w:r>
    </w:p>
    <w:p>
      <w:pPr>
        <w:keepNext w:val="0"/>
        <w:keepLines w:val="0"/>
        <w:pageBreakBefore w:val="0"/>
        <w:shd w:val="solid" w:color="FFFFFF" w:fill="auto"/>
        <w:kinsoku/>
        <w:wordWrap/>
        <w:overflowPunct/>
        <w:topLinePunct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5.根据甲方要求完成信息报送。</w:t>
      </w:r>
    </w:p>
    <w:p>
      <w:pPr>
        <w:keepNext w:val="0"/>
        <w:keepLines w:val="0"/>
        <w:pageBreakBefore w:val="0"/>
        <w:shd w:val="solid" w:color="FFFFFF" w:fill="auto"/>
        <w:kinsoku/>
        <w:wordWrap/>
        <w:overflowPunct/>
        <w:topLinePunct w:val="0"/>
        <w:autoSpaceDN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6.在承保及服务过程中，保险人应按照政府采购合同的要求，严格履行对各项信息的保密义务。</w:t>
      </w:r>
    </w:p>
    <w:p>
      <w:pPr>
        <w:keepNext w:val="0"/>
        <w:keepLines w:val="0"/>
        <w:pageBreakBefore w:val="0"/>
        <w:shd w:val="solid" w:color="FFFFFF" w:fill="auto"/>
        <w:kinsoku/>
        <w:wordWrap/>
        <w:overflowPunct/>
        <w:topLinePunct w:val="0"/>
        <w:autoSpaceDN w:val="0"/>
        <w:bidi w:val="0"/>
        <w:adjustRightInd/>
        <w:spacing w:line="560" w:lineRule="exact"/>
        <w:ind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（三）服务人员基本要求</w:t>
      </w: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保险人所派服务人员应及时了解并熟悉国家及北京市预防接种异常反应补偿相关政策及北京市针对伤、残、病等人员的就医、就学、就业、伤残保障和救济等相应政策。</w:t>
      </w:r>
    </w:p>
    <w:p>
      <w:pPr>
        <w:keepNext w:val="0"/>
        <w:keepLines w:val="0"/>
        <w:pageBreakBefore w:val="0"/>
        <w:numPr>
          <w:ilvl w:val="0"/>
          <w:numId w:val="2"/>
        </w:numPr>
        <w:kinsoku/>
        <w:wordWrap/>
        <w:overflowPunct/>
        <w:topLinePunct w:val="0"/>
        <w:bidi w:val="0"/>
        <w:adjustRightInd/>
        <w:spacing w:line="560" w:lineRule="exact"/>
        <w:ind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培训要求</w:t>
      </w: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保险人应负责协助采购人（北京市卫生健康委员会）对相关人员进行保险经办流程和相关政策法规的培训。</w:t>
      </w:r>
    </w:p>
    <w:p>
      <w:pPr>
        <w:keepNext w:val="0"/>
        <w:keepLines w:val="0"/>
        <w:pageBreakBefore w:val="0"/>
        <w:kinsoku/>
        <w:wordWrap/>
        <w:overflowPunct/>
        <w:topLinePunct w:val="0"/>
        <w:bidi w:val="0"/>
        <w:adjustRightInd/>
        <w:spacing w:line="560" w:lineRule="exact"/>
        <w:ind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（五）优惠服务</w:t>
      </w: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保险人在满足采购需求的同时，可根据供应商的实际情况，提供切实可行的优惠服务方案。</w:t>
      </w: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bidi w:val="0"/>
        <w:adjustRightInd/>
        <w:spacing w:line="560" w:lineRule="exact"/>
        <w:jc w:val="both"/>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bidi w:val="0"/>
        <w:adjustRightInd/>
        <w:spacing w:line="560" w:lineRule="exact"/>
        <w:ind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仿宋" w:hAnsi="仿宋" w:eastAsia="仿宋" w:cs="仿宋"/>
          <w:b/>
          <w:bCs/>
          <w:sz w:val="28"/>
          <w:szCs w:val="28"/>
        </w:rPr>
      </w:pPr>
      <w:r>
        <w:rPr>
          <w:rFonts w:hint="eastAsia" w:ascii="方正小标宋简体" w:hAnsi="方正小标宋简体" w:eastAsia="方正小标宋简体" w:cs="方正小标宋简体"/>
          <w:b w:val="0"/>
          <w:bCs w:val="0"/>
          <w:sz w:val="44"/>
          <w:szCs w:val="44"/>
        </w:rPr>
        <w:t>评分标准</w:t>
      </w:r>
    </w:p>
    <w:tbl>
      <w:tblPr>
        <w:tblStyle w:val="18"/>
        <w:tblpPr w:leftFromText="180" w:rightFromText="180" w:vertAnchor="page" w:horzAnchor="page" w:tblpX="1205" w:tblpY="2315"/>
        <w:tblW w:w="9956" w:type="dxa"/>
        <w:jc w:val="center"/>
        <w:tblInd w:w="0" w:type="dxa"/>
        <w:tblLayout w:type="fixed"/>
        <w:tblCellMar>
          <w:top w:w="0" w:type="dxa"/>
          <w:left w:w="108" w:type="dxa"/>
          <w:bottom w:w="0" w:type="dxa"/>
          <w:right w:w="108" w:type="dxa"/>
        </w:tblCellMar>
      </w:tblPr>
      <w:tblGrid>
        <w:gridCol w:w="1245"/>
        <w:gridCol w:w="1862"/>
        <w:gridCol w:w="5525"/>
        <w:gridCol w:w="1324"/>
      </w:tblGrid>
      <w:tr>
        <w:tblPrEx>
          <w:tblLayout w:type="fixed"/>
          <w:tblCellMar>
            <w:top w:w="0" w:type="dxa"/>
            <w:left w:w="108" w:type="dxa"/>
            <w:bottom w:w="0" w:type="dxa"/>
            <w:right w:w="108" w:type="dxa"/>
          </w:tblCellMar>
        </w:tblPrEx>
        <w:trPr>
          <w:trHeight w:val="567" w:hRule="atLeast"/>
          <w:jc w:val="center"/>
        </w:trPr>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内容</w:t>
            </w:r>
          </w:p>
        </w:tc>
        <w:tc>
          <w:tcPr>
            <w:tcW w:w="1862"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评分因素分项</w:t>
            </w:r>
          </w:p>
        </w:tc>
        <w:tc>
          <w:tcPr>
            <w:tcW w:w="5525"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评分标准</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分值</w:t>
            </w:r>
          </w:p>
        </w:tc>
      </w:tr>
      <w:tr>
        <w:tblPrEx>
          <w:tblLayout w:type="fixed"/>
          <w:tblCellMar>
            <w:top w:w="0" w:type="dxa"/>
            <w:left w:w="108" w:type="dxa"/>
            <w:bottom w:w="0" w:type="dxa"/>
            <w:right w:w="108" w:type="dxa"/>
          </w:tblCellMar>
        </w:tblPrEx>
        <w:trPr>
          <w:trHeight w:val="675" w:hRule="atLeast"/>
          <w:jc w:val="center"/>
        </w:trPr>
        <w:tc>
          <w:tcPr>
            <w:tcW w:w="1245" w:type="dxa"/>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价格部分（10分）</w:t>
            </w:r>
          </w:p>
        </w:tc>
        <w:tc>
          <w:tcPr>
            <w:tcW w:w="1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价格（10分）</w:t>
            </w:r>
          </w:p>
        </w:tc>
        <w:tc>
          <w:tcPr>
            <w:tcW w:w="552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仿宋" w:hAnsi="仿宋" w:eastAsia="仿宋" w:cs="仿宋"/>
                <w:kern w:val="0"/>
                <w:szCs w:val="21"/>
              </w:rPr>
            </w:pPr>
            <w:r>
              <w:rPr>
                <w:rFonts w:hint="eastAsia" w:ascii="仿宋" w:hAnsi="仿宋" w:eastAsia="仿宋" w:cs="仿宋"/>
                <w:kern w:val="2"/>
                <w:sz w:val="21"/>
                <w:szCs w:val="21"/>
                <w:lang w:val="en-US" w:eastAsia="zh-CN" w:bidi="ar-SA"/>
              </w:rPr>
              <w:t>报价得分=（评审基准价/报价）×价格权值10%×100</w:t>
            </w:r>
            <w:r>
              <w:rPr>
                <w:rFonts w:hint="eastAsia" w:ascii="仿宋" w:hAnsi="仿宋" w:eastAsia="仿宋" w:cs="仿宋"/>
                <w:kern w:val="2"/>
                <w:sz w:val="21"/>
                <w:szCs w:val="21"/>
                <w:lang w:val="en-US" w:eastAsia="zh-CN" w:bidi="ar-SA"/>
              </w:rPr>
              <w:br w:type="textWrapping"/>
            </w:r>
            <w:r>
              <w:rPr>
                <w:rFonts w:hint="eastAsia" w:ascii="仿宋" w:hAnsi="仿宋" w:eastAsia="仿宋" w:cs="仿宋"/>
                <w:kern w:val="2"/>
                <w:sz w:val="21"/>
                <w:szCs w:val="21"/>
                <w:lang w:val="en-US" w:eastAsia="zh-CN" w:bidi="ar-SA"/>
              </w:rPr>
              <w:t>注：实质性响应遴选文件要求且价格最低的报价为评审基准价。</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10</w:t>
            </w:r>
          </w:p>
        </w:tc>
      </w:tr>
      <w:tr>
        <w:tblPrEx>
          <w:tblLayout w:type="fixed"/>
          <w:tblCellMar>
            <w:top w:w="0" w:type="dxa"/>
            <w:left w:w="108" w:type="dxa"/>
            <w:bottom w:w="0" w:type="dxa"/>
            <w:right w:w="108" w:type="dxa"/>
          </w:tblCellMar>
        </w:tblPrEx>
        <w:trPr>
          <w:trHeight w:val="525" w:hRule="atLeast"/>
          <w:jc w:val="center"/>
        </w:trPr>
        <w:tc>
          <w:tcPr>
            <w:tcW w:w="12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商务</w:t>
            </w:r>
            <w:r>
              <w:rPr>
                <w:rFonts w:hint="eastAsia" w:ascii="仿宋" w:hAnsi="仿宋" w:eastAsia="仿宋" w:cs="仿宋"/>
                <w:kern w:val="0"/>
                <w:szCs w:val="21"/>
              </w:rPr>
              <w:br w:type="textWrapping"/>
            </w:r>
            <w:r>
              <w:rPr>
                <w:rFonts w:hint="eastAsia" w:ascii="仿宋" w:hAnsi="仿宋" w:eastAsia="仿宋" w:cs="仿宋"/>
                <w:kern w:val="0"/>
                <w:szCs w:val="21"/>
              </w:rPr>
              <w:t>（25分）</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供应商基本情况</w:t>
            </w:r>
          </w:p>
        </w:tc>
        <w:tc>
          <w:tcPr>
            <w:tcW w:w="55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仿宋" w:hAnsi="仿宋" w:eastAsia="仿宋" w:cs="仿宋"/>
                <w:kern w:val="0"/>
                <w:szCs w:val="21"/>
              </w:rPr>
            </w:pPr>
            <w:r>
              <w:rPr>
                <w:rFonts w:hint="eastAsia" w:ascii="仿宋" w:hAnsi="仿宋" w:eastAsia="仿宋" w:cs="仿宋"/>
                <w:kern w:val="2"/>
                <w:sz w:val="21"/>
                <w:szCs w:val="21"/>
                <w:lang w:val="en-US" w:eastAsia="zh-CN" w:bidi="ar-SA"/>
              </w:rPr>
              <w:t>供应商资质情况良好（承担专业资质等）得5分。</w:t>
            </w:r>
            <w:r>
              <w:rPr>
                <w:rFonts w:hint="eastAsia" w:ascii="仿宋" w:hAnsi="仿宋" w:eastAsia="仿宋" w:cs="仿宋"/>
                <w:kern w:val="2"/>
                <w:sz w:val="21"/>
                <w:szCs w:val="21"/>
                <w:lang w:val="en-US" w:eastAsia="zh-CN" w:bidi="ar-SA"/>
              </w:rPr>
              <w:br w:type="textWrapping"/>
            </w:r>
            <w:r>
              <w:rPr>
                <w:rFonts w:hint="eastAsia" w:ascii="仿宋" w:hAnsi="仿宋" w:eastAsia="仿宋" w:cs="仿宋"/>
                <w:kern w:val="2"/>
                <w:sz w:val="21"/>
                <w:szCs w:val="21"/>
                <w:lang w:val="en-US" w:eastAsia="zh-CN" w:bidi="ar-SA"/>
              </w:rPr>
              <w:t>注：供应商需提供相关证明材料，否则不予认可。</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5</w:t>
            </w:r>
          </w:p>
        </w:tc>
      </w:tr>
      <w:tr>
        <w:tblPrEx>
          <w:tblLayout w:type="fixed"/>
          <w:tblCellMar>
            <w:top w:w="0" w:type="dxa"/>
            <w:left w:w="108" w:type="dxa"/>
            <w:bottom w:w="0" w:type="dxa"/>
            <w:right w:w="108" w:type="dxa"/>
          </w:tblCellMar>
        </w:tblPrEx>
        <w:trPr>
          <w:trHeight w:val="1035" w:hRule="atLeast"/>
          <w:jc w:val="center"/>
        </w:trPr>
        <w:tc>
          <w:tcPr>
            <w:tcW w:w="124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Cs w:val="21"/>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供应商的业绩</w:t>
            </w:r>
          </w:p>
        </w:tc>
        <w:tc>
          <w:tcPr>
            <w:tcW w:w="55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供应商近三年（2019年1月起至本采购活动遴选公告发布前（以合同签订日期为准））承接过预防接种异常反应商业保险补偿项目，每提供 1 个合同得 1分；满分为20分（一个投保人仅算一次）。</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仿宋" w:hAnsi="仿宋" w:eastAsia="仿宋" w:cs="仿宋"/>
                <w:color w:val="000000"/>
                <w:kern w:val="0"/>
                <w:szCs w:val="21"/>
              </w:rPr>
            </w:pPr>
            <w:r>
              <w:rPr>
                <w:rFonts w:hint="eastAsia" w:ascii="仿宋" w:hAnsi="仿宋" w:eastAsia="仿宋" w:cs="仿宋"/>
                <w:kern w:val="2"/>
                <w:sz w:val="21"/>
                <w:szCs w:val="21"/>
                <w:lang w:val="en-US" w:eastAsia="zh-CN" w:bidi="ar-SA"/>
              </w:rPr>
              <w:t>注：供应商需提供合同/投保书复印件并加盖公章，合同/投保书中需包含首页、显示上述内容相关页、签字盖章页（签署页），以上内容要做好标记，如无材料证明或证明材料不完整，上述内容视为零分。</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r>
      <w:tr>
        <w:tblPrEx>
          <w:tblLayout w:type="fixed"/>
          <w:tblCellMar>
            <w:top w:w="0" w:type="dxa"/>
            <w:left w:w="108" w:type="dxa"/>
            <w:bottom w:w="0" w:type="dxa"/>
            <w:right w:w="108" w:type="dxa"/>
          </w:tblCellMar>
        </w:tblPrEx>
        <w:trPr>
          <w:trHeight w:val="810" w:hRule="atLeast"/>
          <w:jc w:val="center"/>
        </w:trPr>
        <w:tc>
          <w:tcPr>
            <w:tcW w:w="12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技术</w:t>
            </w:r>
            <w:r>
              <w:rPr>
                <w:rFonts w:hint="eastAsia" w:ascii="仿宋" w:hAnsi="仿宋" w:eastAsia="仿宋" w:cs="仿宋"/>
                <w:kern w:val="0"/>
                <w:szCs w:val="21"/>
              </w:rPr>
              <w:br w:type="textWrapping"/>
            </w:r>
            <w:r>
              <w:rPr>
                <w:rFonts w:hint="eastAsia" w:ascii="仿宋" w:hAnsi="仿宋" w:eastAsia="仿宋" w:cs="仿宋"/>
                <w:kern w:val="0"/>
                <w:szCs w:val="21"/>
              </w:rPr>
              <w:t>（65分）</w:t>
            </w: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项目方案</w:t>
            </w:r>
          </w:p>
        </w:tc>
        <w:tc>
          <w:tcPr>
            <w:tcW w:w="5525"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tabs>
                <w:tab w:val="left" w:pos="634"/>
                <w:tab w:val="left" w:pos="6317"/>
              </w:tabs>
              <w:kinsoku/>
              <w:wordWrap/>
              <w:overflowPunct/>
              <w:topLinePunct w:val="0"/>
              <w:autoSpaceDE/>
              <w:autoSpaceDN/>
              <w:bidi w:val="0"/>
              <w:adjustRightInd/>
              <w:snapToGrid/>
              <w:spacing w:before="5" w:line="240" w:lineRule="exact"/>
              <w:ind w:right="96"/>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项目方案要求科学合理性强、内容详细全面，可行性强。方案中保障项目、补偿流程、宣传培训三方面需符合以下要求。</w:t>
            </w:r>
          </w:p>
          <w:p>
            <w:pPr>
              <w:pStyle w:val="26"/>
              <w:keepNext w:val="0"/>
              <w:keepLines w:val="0"/>
              <w:pageBreakBefore w:val="0"/>
              <w:tabs>
                <w:tab w:val="left" w:pos="634"/>
                <w:tab w:val="left" w:pos="6317"/>
              </w:tabs>
              <w:kinsoku/>
              <w:wordWrap/>
              <w:overflowPunct/>
              <w:topLinePunct w:val="0"/>
              <w:autoSpaceDE/>
              <w:autoSpaceDN/>
              <w:bidi w:val="0"/>
              <w:adjustRightInd/>
              <w:snapToGrid/>
              <w:spacing w:before="5" w:line="240" w:lineRule="exact"/>
              <w:ind w:right="96"/>
              <w:textAlignment w:val="auto"/>
              <w:outlineLvl w:val="9"/>
              <w:rPr>
                <w:rFonts w:ascii="仿宋" w:hAnsi="仿宋" w:eastAsia="仿宋" w:cs="仿宋"/>
                <w:sz w:val="21"/>
                <w:szCs w:val="21"/>
                <w:lang w:eastAsia="zh-CN"/>
              </w:rPr>
            </w:pPr>
            <w:r>
              <w:rPr>
                <w:rFonts w:hint="eastAsia" w:ascii="仿宋" w:hAnsi="仿宋" w:eastAsia="仿宋" w:cs="仿宋"/>
                <w:sz w:val="21"/>
                <w:szCs w:val="21"/>
                <w:lang w:eastAsia="zh-CN"/>
              </w:rPr>
              <w:t>1.保障方案完整（满足遴选文件采购需求技术要求部分）且具有可操作性。保障项目及标准(详见采购需求“三、技术要求中保障项目及标准”中的医疗费、误工费、护理费、残疾生活补助费、残疾生活辅助具费、其他</w:t>
            </w:r>
            <w:r>
              <w:rPr>
                <w:rFonts w:hint="eastAsia" w:ascii="仿宋" w:hAnsi="仿宋" w:eastAsia="仿宋" w:cs="仿宋"/>
                <w:sz w:val="21"/>
                <w:szCs w:val="21"/>
                <w:lang w:val="en-US" w:eastAsia="zh-CN"/>
              </w:rPr>
              <w:t>费用（</w:t>
            </w:r>
            <w:r>
              <w:rPr>
                <w:rFonts w:hint="eastAsia" w:ascii="仿宋" w:hAnsi="仿宋" w:eastAsia="仿宋" w:cs="仿宋"/>
                <w:sz w:val="21"/>
                <w:szCs w:val="21"/>
                <w:lang w:eastAsia="zh-CN"/>
              </w:rPr>
              <w:t>检验费、鉴定费、损害程度评定费</w:t>
            </w:r>
            <w:r>
              <w:rPr>
                <w:rFonts w:hint="eastAsia" w:ascii="仿宋" w:hAnsi="仿宋" w:eastAsia="仿宋" w:cs="仿宋"/>
                <w:sz w:val="21"/>
                <w:szCs w:val="21"/>
                <w:lang w:val="en-US" w:eastAsia="zh-CN"/>
              </w:rPr>
              <w:t>等</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死亡补偿金、丧葬费、尸检费用、受种者死亡前因诊治、康复异常反应相关疾病实际支出</w:t>
            </w:r>
            <w:r>
              <w:rPr>
                <w:rFonts w:hint="eastAsia" w:ascii="仿宋" w:hAnsi="仿宋" w:eastAsia="仿宋" w:cs="仿宋"/>
                <w:sz w:val="21"/>
                <w:szCs w:val="21"/>
                <w:lang w:val="en-US" w:eastAsia="zh-CN"/>
              </w:rPr>
              <w:t>等</w:t>
            </w:r>
            <w:r>
              <w:rPr>
                <w:rFonts w:hint="eastAsia" w:ascii="仿宋" w:hAnsi="仿宋" w:eastAsia="仿宋" w:cs="仿宋"/>
                <w:sz w:val="21"/>
                <w:szCs w:val="21"/>
                <w:lang w:eastAsia="zh-CN"/>
              </w:rPr>
              <w:t>10项保险责任，满分5分，每项符合条件得0.5分。</w:t>
            </w:r>
          </w:p>
          <w:p>
            <w:pPr>
              <w:pStyle w:val="26"/>
              <w:keepNext w:val="0"/>
              <w:keepLines w:val="0"/>
              <w:pageBreakBefore w:val="0"/>
              <w:tabs>
                <w:tab w:val="left" w:pos="634"/>
                <w:tab w:val="left" w:pos="6317"/>
              </w:tabs>
              <w:kinsoku/>
              <w:wordWrap/>
              <w:overflowPunct/>
              <w:topLinePunct w:val="0"/>
              <w:autoSpaceDE/>
              <w:autoSpaceDN/>
              <w:bidi w:val="0"/>
              <w:adjustRightInd/>
              <w:snapToGrid/>
              <w:spacing w:before="5" w:line="240" w:lineRule="exact"/>
              <w:ind w:right="96"/>
              <w:textAlignment w:val="auto"/>
              <w:outlineLvl w:val="9"/>
              <w:rPr>
                <w:rFonts w:ascii="仿宋" w:hAnsi="仿宋" w:eastAsia="仿宋" w:cs="仿宋"/>
                <w:sz w:val="21"/>
                <w:szCs w:val="21"/>
                <w:lang w:eastAsia="zh-CN"/>
              </w:rPr>
            </w:pPr>
            <w:r>
              <w:rPr>
                <w:rFonts w:hint="eastAsia" w:ascii="仿宋" w:hAnsi="仿宋" w:eastAsia="仿宋" w:cs="仿宋"/>
                <w:sz w:val="21"/>
                <w:szCs w:val="21"/>
                <w:lang w:eastAsia="zh-CN"/>
              </w:rPr>
              <w:t>2.补偿流程完整（满足遴选文件采购需求技术需求部分）且具有可操作性。报案-咨询指导-理赔时效-政策帮扶共4个环节，4个环节均符合条件得满分 4 分，每满足1个环节得1分。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仿宋" w:hAnsi="仿宋" w:eastAsia="仿宋" w:cs="仿宋"/>
                <w:color w:val="000000"/>
                <w:kern w:val="0"/>
                <w:szCs w:val="21"/>
              </w:rPr>
            </w:pPr>
            <w:r>
              <w:rPr>
                <w:rFonts w:hint="eastAsia" w:ascii="仿宋" w:hAnsi="仿宋" w:eastAsia="仿宋" w:cs="仿宋"/>
                <w:szCs w:val="21"/>
              </w:rPr>
              <w:t>3.培训方案完整（满足遴选文件培训部分）且具有可操作性，需列明可行的培训方式、培训人群和培训课件三个方面。满分6分，每个方面可行且内容准确得2分。</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15</w:t>
            </w:r>
          </w:p>
        </w:tc>
      </w:tr>
      <w:tr>
        <w:tblPrEx>
          <w:tblLayout w:type="fixed"/>
          <w:tblCellMar>
            <w:top w:w="0" w:type="dxa"/>
            <w:left w:w="108" w:type="dxa"/>
            <w:bottom w:w="0" w:type="dxa"/>
            <w:right w:w="108" w:type="dxa"/>
          </w:tblCellMar>
        </w:tblPrEx>
        <w:trPr>
          <w:trHeight w:val="2415" w:hRule="atLeast"/>
          <w:jc w:val="center"/>
        </w:trPr>
        <w:tc>
          <w:tcPr>
            <w:tcW w:w="124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Cs w:val="21"/>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项目人员配备</w:t>
            </w:r>
          </w:p>
        </w:tc>
        <w:tc>
          <w:tcPr>
            <w:tcW w:w="5525"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widowControl w:val="0"/>
              <w:tabs>
                <w:tab w:val="left" w:pos="634"/>
              </w:tabs>
              <w:kinsoku/>
              <w:wordWrap/>
              <w:overflowPunct/>
              <w:topLinePunct w:val="0"/>
              <w:autoSpaceDE/>
              <w:autoSpaceDN/>
              <w:bidi w:val="0"/>
              <w:adjustRightInd/>
              <w:snapToGrid/>
              <w:spacing w:before="1" w:line="240" w:lineRule="exact"/>
              <w:ind w:right="-17"/>
              <w:textAlignment w:val="auto"/>
              <w:outlineLvl w:val="9"/>
              <w:rPr>
                <w:rFonts w:ascii="仿宋" w:hAnsi="仿宋" w:eastAsia="仿宋" w:cs="仿宋"/>
                <w:spacing w:val="-14"/>
                <w:sz w:val="21"/>
                <w:szCs w:val="21"/>
                <w:lang w:eastAsia="zh-CN"/>
              </w:rPr>
            </w:pPr>
            <w:r>
              <w:rPr>
                <w:rFonts w:hint="eastAsia" w:ascii="仿宋" w:hAnsi="仿宋" w:eastAsia="仿宋" w:cs="仿宋"/>
                <w:kern w:val="0"/>
                <w:sz w:val="21"/>
                <w:szCs w:val="21"/>
                <w:lang w:eastAsia="zh-CN"/>
              </w:rPr>
              <w:t>拟投入本项目团队人员评价：</w:t>
            </w:r>
            <w:r>
              <w:rPr>
                <w:rFonts w:hint="eastAsia" w:ascii="仿宋" w:hAnsi="仿宋" w:eastAsia="仿宋" w:cs="仿宋"/>
                <w:kern w:val="0"/>
                <w:sz w:val="21"/>
                <w:szCs w:val="21"/>
                <w:lang w:eastAsia="zh-CN"/>
              </w:rPr>
              <w:br w:type="textWrapping"/>
            </w:r>
            <w:r>
              <w:rPr>
                <w:rFonts w:hint="eastAsia" w:ascii="仿宋" w:hAnsi="仿宋" w:eastAsia="仿宋" w:cs="仿宋"/>
                <w:spacing w:val="-8"/>
                <w:sz w:val="21"/>
                <w:szCs w:val="21"/>
                <w:lang w:eastAsia="zh-CN"/>
              </w:rPr>
              <w:t>1.具体项目负责人应具备丰富的管理岗位经验、</w:t>
            </w:r>
            <w:r>
              <w:rPr>
                <w:rFonts w:hint="eastAsia" w:ascii="仿宋" w:hAnsi="仿宋" w:eastAsia="仿宋" w:cs="仿宋"/>
                <w:spacing w:val="-14"/>
                <w:sz w:val="21"/>
                <w:szCs w:val="21"/>
                <w:lang w:eastAsia="zh-CN"/>
              </w:rPr>
              <w:t>公共卫生专业知识和法律知识，该项满分5分。</w:t>
            </w:r>
          </w:p>
          <w:p>
            <w:pPr>
              <w:pStyle w:val="26"/>
              <w:keepNext w:val="0"/>
              <w:keepLines w:val="0"/>
              <w:pageBreakBefore w:val="0"/>
              <w:widowControl w:val="0"/>
              <w:tabs>
                <w:tab w:val="left" w:pos="634"/>
              </w:tabs>
              <w:kinsoku/>
              <w:wordWrap/>
              <w:overflowPunct/>
              <w:topLinePunct w:val="0"/>
              <w:autoSpaceDE/>
              <w:autoSpaceDN/>
              <w:bidi w:val="0"/>
              <w:adjustRightInd/>
              <w:snapToGrid/>
              <w:spacing w:before="1" w:line="240" w:lineRule="exact"/>
              <w:ind w:right="-17" w:firstLine="366" w:firstLineChars="200"/>
              <w:textAlignment w:val="auto"/>
              <w:outlineLvl w:val="9"/>
              <w:rPr>
                <w:rFonts w:ascii="仿宋" w:hAnsi="仿宋" w:eastAsia="仿宋" w:cs="仿宋"/>
                <w:sz w:val="21"/>
                <w:szCs w:val="21"/>
                <w:lang w:eastAsia="zh-CN"/>
              </w:rPr>
            </w:pPr>
            <w:r>
              <w:rPr>
                <w:rFonts w:hint="eastAsia" w:ascii="仿宋" w:hAnsi="仿宋" w:eastAsia="仿宋" w:cs="仿宋"/>
                <w:b/>
                <w:bCs/>
                <w:spacing w:val="-14"/>
                <w:sz w:val="21"/>
                <w:szCs w:val="21"/>
                <w:lang w:eastAsia="zh-CN"/>
              </w:rPr>
              <w:t>具体要求</w:t>
            </w:r>
            <w:r>
              <w:rPr>
                <w:rFonts w:hint="eastAsia" w:ascii="仿宋" w:hAnsi="仿宋" w:eastAsia="仿宋" w:cs="仿宋"/>
                <w:spacing w:val="-14"/>
                <w:sz w:val="21"/>
                <w:szCs w:val="21"/>
                <w:lang w:eastAsia="zh-CN"/>
              </w:rPr>
              <w:t>：</w:t>
            </w:r>
            <w:r>
              <w:rPr>
                <w:rFonts w:hint="eastAsia" w:ascii="仿宋" w:hAnsi="仿宋" w:eastAsia="仿宋" w:cs="仿宋"/>
                <w:sz w:val="21"/>
                <w:szCs w:val="21"/>
                <w:lang w:eastAsia="zh-CN"/>
              </w:rPr>
              <w:t>项目负责人介绍需写明具备公共卫生类管理岗位经历、政府医疗卫生保险项目管理工作经历和持有相关资格证书。其中，</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（1）项目负责人公共卫生管理岗位工作经历满分1.5分，没有不得分，如有工作经历，公共卫生管理岗位工作起始年限3年（</w:t>
            </w:r>
            <w:r>
              <w:rPr>
                <w:rFonts w:hint="eastAsia" w:ascii="仿宋" w:hAnsi="仿宋" w:eastAsia="仿宋" w:cs="仿宋"/>
                <w:sz w:val="21"/>
                <w:szCs w:val="21"/>
                <w:lang w:val="en-US" w:eastAsia="zh-CN"/>
              </w:rPr>
              <w:t>含</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以上的得1.5分</w:t>
            </w:r>
            <w:r>
              <w:rPr>
                <w:rFonts w:hint="eastAsia" w:ascii="仿宋" w:hAnsi="仿宋" w:eastAsia="仿宋" w:cs="仿宋"/>
                <w:sz w:val="21"/>
                <w:szCs w:val="21"/>
                <w:lang w:eastAsia="zh-CN"/>
              </w:rPr>
              <w:t>，起始年限</w:t>
            </w:r>
            <w:r>
              <w:rPr>
                <w:rFonts w:hint="eastAsia" w:ascii="仿宋" w:hAnsi="仿宋" w:eastAsia="仿宋" w:cs="仿宋"/>
                <w:sz w:val="21"/>
                <w:szCs w:val="21"/>
                <w:lang w:val="en-US" w:eastAsia="zh-CN"/>
              </w:rPr>
              <w:t>2年（含）-3</w:t>
            </w:r>
            <w:r>
              <w:rPr>
                <w:rFonts w:hint="eastAsia" w:ascii="仿宋" w:hAnsi="仿宋" w:eastAsia="仿宋" w:cs="仿宋"/>
                <w:sz w:val="21"/>
                <w:szCs w:val="21"/>
                <w:lang w:eastAsia="zh-CN"/>
              </w:rPr>
              <w:t>年得1分，起始年限</w:t>
            </w:r>
            <w:r>
              <w:rPr>
                <w:rFonts w:hint="eastAsia" w:ascii="仿宋" w:hAnsi="仿宋" w:eastAsia="仿宋" w:cs="仿宋"/>
                <w:sz w:val="21"/>
                <w:szCs w:val="21"/>
                <w:lang w:val="en-US" w:eastAsia="zh-CN"/>
              </w:rPr>
              <w:t>1年（含）-2年</w:t>
            </w:r>
            <w:r>
              <w:rPr>
                <w:rFonts w:hint="eastAsia" w:ascii="仿宋" w:hAnsi="仿宋" w:eastAsia="仿宋" w:cs="仿宋"/>
                <w:sz w:val="21"/>
                <w:szCs w:val="21"/>
                <w:lang w:eastAsia="zh-CN"/>
              </w:rPr>
              <w:t>得0.5分；</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（2）项目负责人政府医疗卫生保险项目管理工作经历满分1.5分，没有不得分，如有工作经历，政府医疗卫生保险项目管理工作起始年限3年（</w:t>
            </w:r>
            <w:r>
              <w:rPr>
                <w:rFonts w:hint="eastAsia" w:ascii="仿宋" w:hAnsi="仿宋" w:eastAsia="仿宋" w:cs="仿宋"/>
                <w:sz w:val="21"/>
                <w:szCs w:val="21"/>
                <w:lang w:val="en-US" w:eastAsia="zh-CN"/>
              </w:rPr>
              <w:t>含</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以上</w:t>
            </w:r>
            <w:r>
              <w:rPr>
                <w:rFonts w:hint="eastAsia" w:ascii="仿宋" w:hAnsi="仿宋" w:eastAsia="仿宋" w:cs="仿宋"/>
                <w:sz w:val="21"/>
                <w:szCs w:val="21"/>
                <w:lang w:eastAsia="zh-CN"/>
              </w:rPr>
              <w:t>得1.5分，起始年限2年（</w:t>
            </w:r>
            <w:r>
              <w:rPr>
                <w:rFonts w:hint="eastAsia" w:ascii="仿宋" w:hAnsi="仿宋" w:eastAsia="仿宋" w:cs="仿宋"/>
                <w:sz w:val="21"/>
                <w:szCs w:val="21"/>
                <w:lang w:val="en-US" w:eastAsia="zh-CN"/>
              </w:rPr>
              <w:t>含</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-3年</w:t>
            </w:r>
            <w:r>
              <w:rPr>
                <w:rFonts w:hint="eastAsia" w:ascii="仿宋" w:hAnsi="仿宋" w:eastAsia="仿宋" w:cs="仿宋"/>
                <w:sz w:val="21"/>
                <w:szCs w:val="21"/>
                <w:lang w:eastAsia="zh-CN"/>
              </w:rPr>
              <w:t>得1分，起始年限1年（</w:t>
            </w:r>
            <w:r>
              <w:rPr>
                <w:rFonts w:hint="eastAsia" w:ascii="仿宋" w:hAnsi="仿宋" w:eastAsia="仿宋" w:cs="仿宋"/>
                <w:sz w:val="21"/>
                <w:szCs w:val="21"/>
                <w:lang w:val="en-US" w:eastAsia="zh-CN"/>
              </w:rPr>
              <w:t>含</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-2年</w:t>
            </w:r>
            <w:r>
              <w:rPr>
                <w:rFonts w:hint="eastAsia" w:ascii="仿宋" w:hAnsi="仿宋" w:eastAsia="仿宋" w:cs="仿宋"/>
                <w:sz w:val="21"/>
                <w:szCs w:val="21"/>
                <w:lang w:eastAsia="zh-CN"/>
              </w:rPr>
              <w:t>得0.5分。</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（3）项目负责人持有医疗卫生类证书，得1分，没有不得分；</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（4）项目负责人持有法律类资格证书，得1分，没有不得分。</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2.专业服务团队由具有医疗健康管理工作经验、健康保险理赔工作经验丰富的专业人员组成，团队教育背景应涵盖预防医学、临床医学、 法律等专业并具有相应执业资格，该项满分10分。</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hint="eastAsia" w:ascii="仿宋" w:hAnsi="仿宋" w:eastAsia="仿宋" w:cs="仿宋"/>
                <w:sz w:val="21"/>
                <w:szCs w:val="21"/>
                <w:lang w:eastAsia="zh-CN"/>
              </w:rPr>
            </w:pPr>
            <w:r>
              <w:rPr>
                <w:rFonts w:hint="eastAsia" w:ascii="仿宋" w:hAnsi="仿宋" w:eastAsia="仿宋" w:cs="仿宋"/>
                <w:b/>
                <w:bCs/>
                <w:spacing w:val="-14"/>
                <w:sz w:val="21"/>
                <w:szCs w:val="21"/>
                <w:lang w:eastAsia="zh-CN"/>
              </w:rPr>
              <w:t>具体要求</w:t>
            </w:r>
            <w:r>
              <w:rPr>
                <w:rFonts w:hint="eastAsia" w:ascii="仿宋" w:hAnsi="仿宋" w:eastAsia="仿宋" w:cs="仿宋"/>
                <w:spacing w:val="-14"/>
                <w:sz w:val="21"/>
                <w:szCs w:val="21"/>
                <w:lang w:eastAsia="zh-CN"/>
              </w:rPr>
              <w:t>：</w:t>
            </w:r>
            <w:r>
              <w:rPr>
                <w:rFonts w:hint="eastAsia" w:ascii="仿宋" w:hAnsi="仿宋" w:eastAsia="仿宋" w:cs="仿宋"/>
                <w:sz w:val="21"/>
                <w:szCs w:val="21"/>
                <w:lang w:eastAsia="zh-CN"/>
              </w:rPr>
              <w:t>提供团队人员简介，并提供5 人的毕业证书和执业资格证书，每人均需同时具备规定的毕业证书和执业资格证书。毕业证书包括预防医学、临床医学、护理学和法律专业，执业资格证书包含公共卫生类、临床医学类和法律的执业资格证书。每提供1份证书得1分（每份毕业证书或执业资格证书均可得1分），没有相应证书不得分。</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eastAsia="zh-CN"/>
              </w:rPr>
              <w:t>3.上述团队应为供应商正式员工，并确保项目运营后上述人员实际负责项目运行，该项满分5分。</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2"/>
                <w:sz w:val="21"/>
                <w:szCs w:val="21"/>
                <w:lang w:val="en-US" w:eastAsia="zh-CN" w:bidi="ar-SA"/>
              </w:rPr>
            </w:pPr>
            <w:r>
              <w:rPr>
                <w:rFonts w:hint="eastAsia" w:ascii="仿宋" w:hAnsi="仿宋" w:eastAsia="仿宋" w:cs="仿宋"/>
                <w:b/>
                <w:bCs/>
                <w:spacing w:val="-14"/>
                <w:szCs w:val="21"/>
              </w:rPr>
              <w:t>具体要求</w:t>
            </w:r>
            <w:r>
              <w:rPr>
                <w:rFonts w:hint="eastAsia" w:ascii="仿宋" w:hAnsi="仿宋" w:eastAsia="仿宋" w:cs="仿宋"/>
                <w:spacing w:val="-14"/>
                <w:szCs w:val="21"/>
              </w:rPr>
              <w:t>：</w:t>
            </w:r>
            <w:r>
              <w:rPr>
                <w:rFonts w:hint="eastAsia" w:ascii="仿宋" w:hAnsi="仿宋" w:eastAsia="仿宋" w:cs="仿宋"/>
                <w:kern w:val="2"/>
                <w:sz w:val="21"/>
                <w:szCs w:val="21"/>
                <w:lang w:val="en-US" w:eastAsia="zh-CN" w:bidi="ar-SA"/>
              </w:rPr>
              <w:t>需提供以上5名成员近1年内满6月的社保缴存记录。每名成员符合要求的社保缴存记录得1分，不符合不得分。</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仿宋" w:hAnsi="仿宋" w:eastAsia="仿宋" w:cs="仿宋"/>
                <w:szCs w:val="21"/>
              </w:rPr>
            </w:pPr>
            <w:r>
              <w:rPr>
                <w:rFonts w:hint="eastAsia" w:ascii="仿宋" w:hAnsi="仿宋" w:eastAsia="仿宋" w:cs="仿宋"/>
                <w:kern w:val="2"/>
                <w:sz w:val="21"/>
                <w:szCs w:val="21"/>
                <w:lang w:val="en-US" w:eastAsia="zh-CN" w:bidi="ar-SA"/>
              </w:rPr>
              <w:t>注：需提供项目团队人员劳动合同复印件、工作简历、学历证书、社保缴存记录复印件等。</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r>
      <w:tr>
        <w:tblPrEx>
          <w:tblLayout w:type="fixed"/>
          <w:tblCellMar>
            <w:top w:w="0" w:type="dxa"/>
            <w:left w:w="108" w:type="dxa"/>
            <w:bottom w:w="0" w:type="dxa"/>
            <w:right w:w="108" w:type="dxa"/>
          </w:tblCellMar>
        </w:tblPrEx>
        <w:trPr>
          <w:trHeight w:val="3109" w:hRule="atLeast"/>
          <w:jc w:val="center"/>
        </w:trPr>
        <w:tc>
          <w:tcPr>
            <w:tcW w:w="124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Cs w:val="21"/>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质量保证措施</w:t>
            </w:r>
          </w:p>
        </w:tc>
        <w:tc>
          <w:tcPr>
            <w:tcW w:w="5525" w:type="dxa"/>
            <w:tcBorders>
              <w:top w:val="nil"/>
              <w:left w:val="nil"/>
              <w:bottom w:val="single" w:color="auto" w:sz="4" w:space="0"/>
              <w:right w:val="single" w:color="auto" w:sz="4" w:space="0"/>
            </w:tcBorders>
            <w:shd w:val="clear" w:color="auto" w:fill="auto"/>
            <w:vAlign w:val="center"/>
          </w:tcPr>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ascii="仿宋" w:hAnsi="仿宋" w:eastAsia="仿宋" w:cs="仿宋"/>
                <w:sz w:val="21"/>
                <w:szCs w:val="21"/>
                <w:lang w:eastAsia="zh-CN"/>
              </w:rPr>
            </w:pPr>
            <w:r>
              <w:rPr>
                <w:rFonts w:hint="eastAsia" w:ascii="仿宋" w:hAnsi="仿宋" w:eastAsia="仿宋" w:cs="仿宋"/>
                <w:sz w:val="21"/>
                <w:szCs w:val="21"/>
                <w:lang w:eastAsia="zh-CN"/>
              </w:rPr>
              <w:t>供应商质量管理体系健全，具体要有运营流程，紧急情况处置能力及承接该项目的同类保险产品条款：</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ascii="仿宋" w:hAnsi="仿宋" w:eastAsia="仿宋" w:cs="仿宋"/>
                <w:sz w:val="21"/>
                <w:szCs w:val="21"/>
                <w:lang w:eastAsia="zh-CN"/>
              </w:rPr>
            </w:pPr>
            <w:r>
              <w:rPr>
                <w:rFonts w:hint="eastAsia" w:ascii="仿宋" w:hAnsi="仿宋" w:eastAsia="仿宋" w:cs="仿宋"/>
                <w:sz w:val="21"/>
                <w:szCs w:val="21"/>
                <w:lang w:eastAsia="zh-CN"/>
              </w:rPr>
              <w:t>1</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运营流程：具有承接该项目单独运营手册，得3分；运营手册完整，具备可操作性，得1分；流程清晰并配有流程图，得1分；流程图简单明了，操作便捷，得1分；团队分工清晰，责任明确，得1分；满分7分，按实际情况得分；</w:t>
            </w:r>
          </w:p>
          <w:p>
            <w:pPr>
              <w:pStyle w:val="26"/>
              <w:keepNext w:val="0"/>
              <w:keepLines w:val="0"/>
              <w:pageBreakBefore w:val="0"/>
              <w:widowControl w:val="0"/>
              <w:tabs>
                <w:tab w:val="left" w:pos="635"/>
              </w:tabs>
              <w:kinsoku/>
              <w:wordWrap/>
              <w:overflowPunct/>
              <w:topLinePunct w:val="0"/>
              <w:autoSpaceDE/>
              <w:autoSpaceDN/>
              <w:bidi w:val="0"/>
              <w:adjustRightInd/>
              <w:snapToGrid/>
              <w:spacing w:line="240" w:lineRule="exact"/>
              <w:ind w:right="-17"/>
              <w:textAlignment w:val="auto"/>
              <w:outlineLvl w:val="9"/>
              <w:rPr>
                <w:rFonts w:ascii="仿宋" w:hAnsi="仿宋" w:eastAsia="仿宋" w:cs="仿宋"/>
                <w:sz w:val="21"/>
                <w:szCs w:val="21"/>
                <w:lang w:eastAsia="zh-CN"/>
              </w:rPr>
            </w:pPr>
            <w:r>
              <w:rPr>
                <w:rFonts w:hint="eastAsia" w:ascii="仿宋" w:hAnsi="仿宋" w:eastAsia="仿宋" w:cs="仿宋"/>
                <w:sz w:val="21"/>
                <w:szCs w:val="21"/>
                <w:lang w:eastAsia="zh-CN"/>
              </w:rPr>
              <w:t>2</w:t>
            </w:r>
            <w:r>
              <w:rPr>
                <w:rFonts w:hint="eastAsia" w:ascii="仿宋" w:hAnsi="仿宋" w:eastAsia="仿宋" w:cs="仿宋"/>
                <w:sz w:val="21"/>
                <w:szCs w:val="21"/>
                <w:lang w:val="en-US" w:eastAsia="zh-CN"/>
              </w:rPr>
              <w:t>.</w:t>
            </w:r>
            <w:r>
              <w:rPr>
                <w:rFonts w:hint="eastAsia" w:ascii="仿宋" w:hAnsi="仿宋" w:eastAsia="仿宋" w:cs="仿宋"/>
                <w:sz w:val="21"/>
                <w:szCs w:val="21"/>
                <w:lang w:eastAsia="zh-CN"/>
              </w:rPr>
              <w:t>紧急情况处置能力：具有承接该项目的申诉（投诉）应对预案，得3分；申诉（投诉）应对预案内容完整，具备可操作性，得1分；申诉（投诉）应对迅速,处理高效（回复时效性＜24小时，得1分；回复时效性≥24小时，不得分）；客户投诉业务管理办法健全，得1分；对于客户投诉业务，有相应的监督考核机制，得1分；满分7分，按实际情况得分。</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pPr>
            <w:r>
              <w:rPr>
                <w:rFonts w:hint="eastAsia" w:ascii="仿宋" w:hAnsi="仿宋" w:eastAsia="仿宋" w:cs="仿宋"/>
                <w:szCs w:val="21"/>
              </w:rPr>
              <w:t>3</w:t>
            </w:r>
            <w:r>
              <w:rPr>
                <w:rFonts w:hint="eastAsia" w:ascii="仿宋" w:hAnsi="仿宋" w:eastAsia="仿宋" w:cs="仿宋"/>
                <w:szCs w:val="21"/>
                <w:lang w:val="en-US" w:eastAsia="zh-CN"/>
              </w:rPr>
              <w:t>.</w:t>
            </w:r>
            <w:r>
              <w:rPr>
                <w:rFonts w:hint="eastAsia" w:ascii="仿宋" w:hAnsi="仿宋" w:eastAsia="仿宋" w:cs="仿宋"/>
                <w:szCs w:val="21"/>
              </w:rPr>
              <w:t xml:space="preserve">同类保险产品条款：供应商具有在保监会备案的同类产品开发经验或储备情况，须提供已报备的同类产品条款，条款内容及表述需符合政策要求（与北京市补偿办法等政策文件比较）。完全符合得6分；部分符合得1-5分；不符合不得分。  </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20</w:t>
            </w:r>
          </w:p>
        </w:tc>
      </w:tr>
      <w:tr>
        <w:tblPrEx>
          <w:tblLayout w:type="fixed"/>
          <w:tblCellMar>
            <w:top w:w="0" w:type="dxa"/>
            <w:left w:w="108" w:type="dxa"/>
            <w:bottom w:w="0" w:type="dxa"/>
            <w:right w:w="108" w:type="dxa"/>
          </w:tblCellMar>
        </w:tblPrEx>
        <w:trPr>
          <w:trHeight w:val="810" w:hRule="atLeast"/>
          <w:jc w:val="center"/>
        </w:trPr>
        <w:tc>
          <w:tcPr>
            <w:tcW w:w="124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Cs w:val="21"/>
              </w:rPr>
            </w:pPr>
          </w:p>
        </w:tc>
        <w:tc>
          <w:tcPr>
            <w:tcW w:w="18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服务承诺</w:t>
            </w:r>
          </w:p>
        </w:tc>
        <w:tc>
          <w:tcPr>
            <w:tcW w:w="55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val="en-US" w:eastAsia="zh-CN"/>
              </w:rPr>
              <w:t>.</w:t>
            </w:r>
            <w:r>
              <w:rPr>
                <w:rFonts w:hint="eastAsia" w:ascii="仿宋" w:hAnsi="仿宋" w:eastAsia="仿宋" w:cs="仿宋"/>
                <w:kern w:val="0"/>
                <w:szCs w:val="21"/>
              </w:rPr>
              <w:t>供应商须提供沟通机制、信息报送机制以及客户信息保密机制，内容包括①沟通方案，要求有专人定期沟通；②信息报送方面，要求有专人定期进行信息报送；</w:t>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 3 \* GB3 \* MERGEFORMAT </w:instrText>
            </w:r>
            <w:r>
              <w:rPr>
                <w:rFonts w:hint="eastAsia" w:ascii="仿宋" w:hAnsi="仿宋" w:eastAsia="仿宋" w:cs="仿宋"/>
                <w:kern w:val="0"/>
                <w:szCs w:val="21"/>
              </w:rPr>
              <w:fldChar w:fldCharType="separate"/>
            </w:r>
            <w:r>
              <w:rPr>
                <w:rFonts w:hint="eastAsia" w:ascii="仿宋" w:hAnsi="仿宋" w:eastAsia="仿宋" w:cs="仿宋"/>
                <w:kern w:val="0"/>
                <w:szCs w:val="21"/>
              </w:rPr>
              <w:t>③</w:t>
            </w:r>
            <w:r>
              <w:rPr>
                <w:rFonts w:hint="eastAsia" w:ascii="仿宋" w:hAnsi="仿宋" w:eastAsia="仿宋" w:cs="仿宋"/>
                <w:kern w:val="0"/>
                <w:szCs w:val="21"/>
              </w:rPr>
              <w:fldChar w:fldCharType="end"/>
            </w:r>
            <w:r>
              <w:rPr>
                <w:rFonts w:hint="eastAsia" w:ascii="仿宋" w:hAnsi="仿宋" w:eastAsia="仿宋" w:cs="仿宋"/>
                <w:kern w:val="0"/>
                <w:szCs w:val="21"/>
              </w:rPr>
              <w:t>客户信息保密方面，要求公司有配套的客户信息保密系统等，三项内容均有得6分；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val="en-US" w:eastAsia="zh-CN"/>
              </w:rPr>
              <w:t>.</w:t>
            </w:r>
            <w:r>
              <w:rPr>
                <w:rFonts w:hint="eastAsia" w:ascii="仿宋" w:hAnsi="仿宋" w:eastAsia="仿宋" w:cs="仿宋"/>
                <w:szCs w:val="21"/>
              </w:rPr>
              <w:t>供应商提供实质性优惠服务，（如提高保险责任、提高理赔时效、提高服务水平和专业性）等实质性优惠服务，每提供一项增加2分，</w:t>
            </w:r>
            <w:r>
              <w:rPr>
                <w:rFonts w:hint="eastAsia" w:ascii="仿宋" w:hAnsi="仿宋" w:eastAsia="仿宋" w:cs="仿宋"/>
                <w:szCs w:val="21"/>
                <w:lang w:val="en-US" w:eastAsia="zh-CN"/>
              </w:rPr>
              <w:t>最高得4</w:t>
            </w:r>
            <w:r>
              <w:rPr>
                <w:rFonts w:hint="eastAsia" w:ascii="仿宋" w:hAnsi="仿宋" w:eastAsia="仿宋" w:cs="仿宋"/>
                <w:szCs w:val="21"/>
              </w:rPr>
              <w:t>分。</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10</w:t>
            </w:r>
          </w:p>
        </w:tc>
      </w:tr>
      <w:tr>
        <w:tblPrEx>
          <w:tblLayout w:type="fixed"/>
          <w:tblCellMar>
            <w:top w:w="0" w:type="dxa"/>
            <w:left w:w="108" w:type="dxa"/>
            <w:bottom w:w="0" w:type="dxa"/>
            <w:right w:w="108" w:type="dxa"/>
          </w:tblCellMar>
        </w:tblPrEx>
        <w:trPr>
          <w:trHeight w:val="510" w:hRule="atLeast"/>
          <w:jc w:val="center"/>
        </w:trPr>
        <w:tc>
          <w:tcPr>
            <w:tcW w:w="863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总分</w:t>
            </w:r>
          </w:p>
        </w:tc>
        <w:tc>
          <w:tcPr>
            <w:tcW w:w="132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Cs w:val="21"/>
              </w:rPr>
            </w:pPr>
            <w:r>
              <w:rPr>
                <w:rFonts w:hint="eastAsia" w:ascii="仿宋" w:hAnsi="仿宋" w:eastAsia="仿宋" w:cs="仿宋"/>
                <w:kern w:val="0"/>
                <w:szCs w:val="21"/>
              </w:rPr>
              <w:t>100</w:t>
            </w:r>
          </w:p>
        </w:tc>
      </w:tr>
    </w:tbl>
    <w:p>
      <w:pPr>
        <w:spacing w:line="360" w:lineRule="auto"/>
        <w:jc w:val="center"/>
        <w:rPr>
          <w:rFonts w:ascii="仿宋" w:hAnsi="仿宋" w:eastAsia="仿宋" w:cs="宋体"/>
          <w:b/>
          <w:bCs/>
          <w:sz w:val="32"/>
          <w:szCs w:val="28"/>
        </w:rPr>
      </w:pPr>
    </w:p>
    <w:p>
      <w:pPr>
        <w:spacing w:line="360" w:lineRule="auto"/>
        <w:jc w:val="center"/>
        <w:rPr>
          <w:rFonts w:ascii="仿宋" w:hAnsi="仿宋" w:eastAsia="仿宋" w:cs="宋体"/>
          <w:b/>
          <w:bCs/>
          <w:sz w:val="32"/>
          <w:szCs w:val="28"/>
        </w:rPr>
      </w:pPr>
    </w:p>
    <w:p>
      <w:pPr>
        <w:spacing w:line="360" w:lineRule="auto"/>
        <w:jc w:val="center"/>
        <w:rPr>
          <w:rFonts w:ascii="仿宋" w:hAnsi="仿宋" w:eastAsia="仿宋" w:cs="宋体"/>
          <w:b/>
          <w:bCs/>
          <w:sz w:val="32"/>
          <w:szCs w:val="28"/>
        </w:rPr>
      </w:pPr>
    </w:p>
    <w:p>
      <w:pPr>
        <w:spacing w:line="360" w:lineRule="auto"/>
        <w:jc w:val="center"/>
        <w:rPr>
          <w:rFonts w:ascii="仿宋" w:hAnsi="仿宋" w:eastAsia="仿宋" w:cs="宋体"/>
          <w:b/>
          <w:bCs/>
          <w:sz w:val="32"/>
          <w:szCs w:val="28"/>
        </w:rPr>
      </w:pPr>
    </w:p>
    <w:p>
      <w:pPr>
        <w:spacing w:line="360" w:lineRule="auto"/>
        <w:jc w:val="both"/>
        <w:rPr>
          <w:rFonts w:hint="eastAsia" w:ascii="黑体" w:hAnsi="黑体" w:eastAsia="黑体" w:cs="黑体"/>
          <w:b w:val="0"/>
          <w:bCs w:val="0"/>
          <w:sz w:val="32"/>
          <w:szCs w:val="28"/>
          <w:lang w:val="en-US" w:eastAsia="zh-CN"/>
        </w:rPr>
      </w:pPr>
      <w:bookmarkStart w:id="0" w:name="_GoBack"/>
      <w:bookmarkEnd w:id="0"/>
    </w:p>
    <w:sectPr>
      <w:headerReference r:id="rId3" w:type="default"/>
      <w:footerReference r:id="rId4" w:type="default"/>
      <w:pgSz w:w="11906" w:h="16838"/>
      <w:pgMar w:top="1440" w:right="1559" w:bottom="1440" w:left="162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18030">
    <w:altName w:val="微软雅黑"/>
    <w:panose1 w:val="02010609060101010101"/>
    <w:charset w:val="86"/>
    <w:family w:val="modern"/>
    <w:pitch w:val="default"/>
    <w:sig w:usb0="00000000" w:usb1="00000000" w:usb2="000A005E"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Dotum">
    <w:panose1 w:val="020B0600000101010101"/>
    <w:charset w:val="81"/>
    <w:family w:val="moder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580"/>
        <w:tab w:val="clear" w:pos="4153"/>
        <w:tab w:val="clear" w:pos="8306"/>
      </w:tabs>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 xml:space="preserve">   </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pacing w:line="360" w:lineRule="auto"/>
      <w:rPr>
        <w:rFonts w:hint="eastAs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E66E44"/>
    <w:multiLevelType w:val="singleLevel"/>
    <w:tmpl w:val="C7E66E44"/>
    <w:lvl w:ilvl="0" w:tentative="0">
      <w:start w:val="4"/>
      <w:numFmt w:val="chineseCounting"/>
      <w:suff w:val="nothing"/>
      <w:lvlText w:val="（%1）"/>
      <w:lvlJc w:val="left"/>
      <w:rPr>
        <w:rFonts w:hint="eastAsia"/>
      </w:rPr>
    </w:lvl>
  </w:abstractNum>
  <w:abstractNum w:abstractNumId="1">
    <w:nsid w:val="00000014"/>
    <w:multiLevelType w:val="multilevel"/>
    <w:tmpl w:val="00000014"/>
    <w:lvl w:ilvl="0" w:tentative="0">
      <w:start w:val="1"/>
      <w:numFmt w:val="decimal"/>
      <w:pStyle w:val="2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5C"/>
    <w:rsid w:val="00045C2C"/>
    <w:rsid w:val="000A22BF"/>
    <w:rsid w:val="00193EAA"/>
    <w:rsid w:val="00202E75"/>
    <w:rsid w:val="00265901"/>
    <w:rsid w:val="002813AC"/>
    <w:rsid w:val="00296944"/>
    <w:rsid w:val="002D2684"/>
    <w:rsid w:val="00320B1B"/>
    <w:rsid w:val="003B2C36"/>
    <w:rsid w:val="003D1C53"/>
    <w:rsid w:val="003E70D5"/>
    <w:rsid w:val="004D73E0"/>
    <w:rsid w:val="004F644E"/>
    <w:rsid w:val="00504DC9"/>
    <w:rsid w:val="00515BAC"/>
    <w:rsid w:val="005A78FE"/>
    <w:rsid w:val="006337E9"/>
    <w:rsid w:val="00652669"/>
    <w:rsid w:val="006F7B9A"/>
    <w:rsid w:val="0072607C"/>
    <w:rsid w:val="007A7660"/>
    <w:rsid w:val="007D6E6A"/>
    <w:rsid w:val="008955C2"/>
    <w:rsid w:val="008A2C42"/>
    <w:rsid w:val="0099485C"/>
    <w:rsid w:val="00A7326C"/>
    <w:rsid w:val="00B33D64"/>
    <w:rsid w:val="00B6181C"/>
    <w:rsid w:val="00B927D3"/>
    <w:rsid w:val="00BA4C9E"/>
    <w:rsid w:val="00CA49E3"/>
    <w:rsid w:val="00D875C2"/>
    <w:rsid w:val="00DB1122"/>
    <w:rsid w:val="00FA3FE5"/>
    <w:rsid w:val="00FF1677"/>
    <w:rsid w:val="03506464"/>
    <w:rsid w:val="04116225"/>
    <w:rsid w:val="04CC7013"/>
    <w:rsid w:val="04EC0C75"/>
    <w:rsid w:val="05465BE8"/>
    <w:rsid w:val="054E1D38"/>
    <w:rsid w:val="05851375"/>
    <w:rsid w:val="05FD6800"/>
    <w:rsid w:val="065167C8"/>
    <w:rsid w:val="06F64987"/>
    <w:rsid w:val="07B94ACE"/>
    <w:rsid w:val="083968D3"/>
    <w:rsid w:val="08446F26"/>
    <w:rsid w:val="084F3144"/>
    <w:rsid w:val="08591B36"/>
    <w:rsid w:val="09785AE9"/>
    <w:rsid w:val="09BA421C"/>
    <w:rsid w:val="0AEF62AA"/>
    <w:rsid w:val="0B88518E"/>
    <w:rsid w:val="0CE27150"/>
    <w:rsid w:val="0D053347"/>
    <w:rsid w:val="0D0C350A"/>
    <w:rsid w:val="0DF60D1F"/>
    <w:rsid w:val="0F580015"/>
    <w:rsid w:val="147F0D2E"/>
    <w:rsid w:val="1488115E"/>
    <w:rsid w:val="15510AF7"/>
    <w:rsid w:val="159974FB"/>
    <w:rsid w:val="163758EA"/>
    <w:rsid w:val="16A832FE"/>
    <w:rsid w:val="16DF7E92"/>
    <w:rsid w:val="17936A27"/>
    <w:rsid w:val="1847330B"/>
    <w:rsid w:val="192455AA"/>
    <w:rsid w:val="1A2E0A44"/>
    <w:rsid w:val="1A3A3F75"/>
    <w:rsid w:val="1A861213"/>
    <w:rsid w:val="1AFA066E"/>
    <w:rsid w:val="1BEE30D1"/>
    <w:rsid w:val="1C32518C"/>
    <w:rsid w:val="1DB87BEE"/>
    <w:rsid w:val="1DD563E7"/>
    <w:rsid w:val="1E95260D"/>
    <w:rsid w:val="1F350930"/>
    <w:rsid w:val="1F6B6D06"/>
    <w:rsid w:val="1FC15F51"/>
    <w:rsid w:val="210873DA"/>
    <w:rsid w:val="21A00920"/>
    <w:rsid w:val="2221585D"/>
    <w:rsid w:val="222664A5"/>
    <w:rsid w:val="2276699B"/>
    <w:rsid w:val="233C4938"/>
    <w:rsid w:val="234A4254"/>
    <w:rsid w:val="241525A5"/>
    <w:rsid w:val="251850D4"/>
    <w:rsid w:val="25367B0B"/>
    <w:rsid w:val="25C66DC9"/>
    <w:rsid w:val="27237DEE"/>
    <w:rsid w:val="287B334A"/>
    <w:rsid w:val="28EB0E28"/>
    <w:rsid w:val="295311B2"/>
    <w:rsid w:val="29AC41C7"/>
    <w:rsid w:val="29CF2B79"/>
    <w:rsid w:val="2A9B15C9"/>
    <w:rsid w:val="2B3950F2"/>
    <w:rsid w:val="2C431B82"/>
    <w:rsid w:val="2C4C364B"/>
    <w:rsid w:val="2CD967C5"/>
    <w:rsid w:val="2CF605EB"/>
    <w:rsid w:val="2D4F5CC9"/>
    <w:rsid w:val="2E57400C"/>
    <w:rsid w:val="2E5A5357"/>
    <w:rsid w:val="2FC24F80"/>
    <w:rsid w:val="30022650"/>
    <w:rsid w:val="30AB2DC0"/>
    <w:rsid w:val="31257B65"/>
    <w:rsid w:val="31C308CD"/>
    <w:rsid w:val="323B3AA8"/>
    <w:rsid w:val="33220602"/>
    <w:rsid w:val="33965188"/>
    <w:rsid w:val="33972A1F"/>
    <w:rsid w:val="34145508"/>
    <w:rsid w:val="34336550"/>
    <w:rsid w:val="345F17CB"/>
    <w:rsid w:val="384E39AE"/>
    <w:rsid w:val="395C072F"/>
    <w:rsid w:val="3A7D7B4B"/>
    <w:rsid w:val="3C62410D"/>
    <w:rsid w:val="3D2D0985"/>
    <w:rsid w:val="3DA04C39"/>
    <w:rsid w:val="3DBB6E6F"/>
    <w:rsid w:val="3DFD7615"/>
    <w:rsid w:val="3E920017"/>
    <w:rsid w:val="3E96214A"/>
    <w:rsid w:val="3F303A03"/>
    <w:rsid w:val="3F821110"/>
    <w:rsid w:val="3FA2363B"/>
    <w:rsid w:val="40F47BBE"/>
    <w:rsid w:val="42542443"/>
    <w:rsid w:val="42676072"/>
    <w:rsid w:val="42932199"/>
    <w:rsid w:val="42AC773B"/>
    <w:rsid w:val="44523809"/>
    <w:rsid w:val="447D30ED"/>
    <w:rsid w:val="44FE68F6"/>
    <w:rsid w:val="46161323"/>
    <w:rsid w:val="46D3596D"/>
    <w:rsid w:val="480925D3"/>
    <w:rsid w:val="49254E47"/>
    <w:rsid w:val="4A1E6569"/>
    <w:rsid w:val="4B6D5486"/>
    <w:rsid w:val="4B8F5C2C"/>
    <w:rsid w:val="4BEC7868"/>
    <w:rsid w:val="4C7E599E"/>
    <w:rsid w:val="4CD135DA"/>
    <w:rsid w:val="4CEF74A9"/>
    <w:rsid w:val="4D620ABC"/>
    <w:rsid w:val="4DD83D43"/>
    <w:rsid w:val="4ED16E96"/>
    <w:rsid w:val="500408D1"/>
    <w:rsid w:val="507B19C7"/>
    <w:rsid w:val="50E1672D"/>
    <w:rsid w:val="50F0264C"/>
    <w:rsid w:val="5215479B"/>
    <w:rsid w:val="52F052AD"/>
    <w:rsid w:val="548F4741"/>
    <w:rsid w:val="54F2194D"/>
    <w:rsid w:val="54F86BDA"/>
    <w:rsid w:val="55F35C7A"/>
    <w:rsid w:val="573F0D07"/>
    <w:rsid w:val="598C2457"/>
    <w:rsid w:val="59F76572"/>
    <w:rsid w:val="5D1B5963"/>
    <w:rsid w:val="5D1C3C78"/>
    <w:rsid w:val="5D525F0A"/>
    <w:rsid w:val="5E0954D7"/>
    <w:rsid w:val="5ED47655"/>
    <w:rsid w:val="6019560A"/>
    <w:rsid w:val="60DC11A3"/>
    <w:rsid w:val="618037B9"/>
    <w:rsid w:val="6181796E"/>
    <w:rsid w:val="6191411D"/>
    <w:rsid w:val="630E7C57"/>
    <w:rsid w:val="63436F5E"/>
    <w:rsid w:val="64ED3E19"/>
    <w:rsid w:val="65077E69"/>
    <w:rsid w:val="65C50B99"/>
    <w:rsid w:val="66197FB8"/>
    <w:rsid w:val="66707851"/>
    <w:rsid w:val="66821350"/>
    <w:rsid w:val="678B7C4E"/>
    <w:rsid w:val="693C5B3A"/>
    <w:rsid w:val="6A8D089C"/>
    <w:rsid w:val="6AF36989"/>
    <w:rsid w:val="6B0947E7"/>
    <w:rsid w:val="6C566408"/>
    <w:rsid w:val="6CA45841"/>
    <w:rsid w:val="6D950815"/>
    <w:rsid w:val="6E5E036C"/>
    <w:rsid w:val="6EE01475"/>
    <w:rsid w:val="6F5A7CC3"/>
    <w:rsid w:val="6F743E3A"/>
    <w:rsid w:val="6F9818E4"/>
    <w:rsid w:val="72D359CB"/>
    <w:rsid w:val="74414776"/>
    <w:rsid w:val="75586BB9"/>
    <w:rsid w:val="76DA049B"/>
    <w:rsid w:val="781208F3"/>
    <w:rsid w:val="7845575B"/>
    <w:rsid w:val="789326DE"/>
    <w:rsid w:val="78FA6E06"/>
    <w:rsid w:val="7928703D"/>
    <w:rsid w:val="794E2F2B"/>
    <w:rsid w:val="795C4184"/>
    <w:rsid w:val="7D3C7A01"/>
    <w:rsid w:val="7E5C313A"/>
    <w:rsid w:val="7EC62EB3"/>
    <w:rsid w:val="7ED70187"/>
    <w:rsid w:val="7F03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adjustRightInd w:val="0"/>
      <w:jc w:val="center"/>
      <w:textAlignment w:val="baseline"/>
      <w:outlineLvl w:val="0"/>
    </w:pPr>
    <w:rPr>
      <w:rFonts w:ascii="宋体" w:hAnsi="宋体"/>
      <w:b/>
      <w:spacing w:val="4"/>
      <w:kern w:val="0"/>
      <w:sz w:val="48"/>
      <w:szCs w:val="28"/>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4"/>
    <w:semiHidden/>
    <w:unhideWhenUsed/>
    <w:qFormat/>
    <w:uiPriority w:val="99"/>
    <w:rPr>
      <w:b/>
      <w:bCs/>
    </w:rPr>
  </w:style>
  <w:style w:type="paragraph" w:styleId="5">
    <w:name w:val="annotation text"/>
    <w:basedOn w:val="1"/>
    <w:link w:val="23"/>
    <w:semiHidden/>
    <w:unhideWhenUsed/>
    <w:qFormat/>
    <w:uiPriority w:val="99"/>
    <w:pPr>
      <w:jc w:val="left"/>
    </w:pPr>
  </w:style>
  <w:style w:type="paragraph" w:styleId="6">
    <w:name w:val="Body Text"/>
    <w:basedOn w:val="1"/>
    <w:qFormat/>
    <w:uiPriority w:val="0"/>
    <w:pPr>
      <w:spacing w:after="120"/>
    </w:pPr>
  </w:style>
  <w:style w:type="paragraph" w:styleId="7">
    <w:name w:val="Balloon Text"/>
    <w:basedOn w:val="1"/>
    <w:link w:val="25"/>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tabs>
        <w:tab w:val="right" w:leader="dot" w:pos="8800"/>
      </w:tabs>
      <w:spacing w:before="155" w:beforeLines="50" w:line="360" w:lineRule="auto"/>
      <w:jc w:val="center"/>
    </w:pPr>
    <w:rPr>
      <w:b/>
      <w:bCs/>
      <w:sz w:val="28"/>
      <w:szCs w:val="28"/>
    </w:rPr>
  </w:style>
  <w:style w:type="paragraph" w:styleId="11">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12">
    <w:name w:val="Title"/>
    <w:basedOn w:val="1"/>
    <w:next w:val="1"/>
    <w:qFormat/>
    <w:uiPriority w:val="0"/>
    <w:pPr>
      <w:spacing w:before="240" w:after="60"/>
      <w:jc w:val="center"/>
      <w:outlineLvl w:val="0"/>
    </w:pPr>
    <w:rPr>
      <w:rFonts w:ascii="Cambria" w:hAnsi="Cambria" w:eastAsia="黑体"/>
      <w:b/>
      <w:bCs/>
      <w:sz w:val="30"/>
      <w:szCs w:val="32"/>
    </w:rPr>
  </w:style>
  <w:style w:type="character" w:styleId="14">
    <w:name w:val="Strong"/>
    <w:qFormat/>
    <w:uiPriority w:val="22"/>
    <w:rPr>
      <w:b/>
    </w:rPr>
  </w:style>
  <w:style w:type="character" w:styleId="15">
    <w:name w:val="page number"/>
    <w:basedOn w:val="13"/>
    <w:qFormat/>
    <w:uiPriority w:val="0"/>
  </w:style>
  <w:style w:type="character" w:styleId="16">
    <w:name w:val="Hyperlink"/>
    <w:qFormat/>
    <w:uiPriority w:val="99"/>
    <w:rPr>
      <w:color w:val="0066CC"/>
      <w:sz w:val="20"/>
      <w:szCs w:val="20"/>
      <w:u w:val="none"/>
    </w:rPr>
  </w:style>
  <w:style w:type="character" w:styleId="17">
    <w:name w:val="annotation reference"/>
    <w:basedOn w:val="13"/>
    <w:semiHidden/>
    <w:unhideWhenUsed/>
    <w:qFormat/>
    <w:uiPriority w:val="99"/>
    <w:rPr>
      <w:sz w:val="21"/>
      <w:szCs w:val="21"/>
    </w:rPr>
  </w:style>
  <w:style w:type="character" w:customStyle="1" w:styleId="19">
    <w:name w:val="页眉 Char"/>
    <w:basedOn w:val="13"/>
    <w:link w:val="9"/>
    <w:qFormat/>
    <w:uiPriority w:val="99"/>
    <w:rPr>
      <w:sz w:val="18"/>
      <w:szCs w:val="18"/>
    </w:rPr>
  </w:style>
  <w:style w:type="character" w:customStyle="1" w:styleId="20">
    <w:name w:val="页脚 Char"/>
    <w:basedOn w:val="13"/>
    <w:link w:val="8"/>
    <w:qFormat/>
    <w:uiPriority w:val="99"/>
    <w:rPr>
      <w:sz w:val="18"/>
      <w:szCs w:val="18"/>
    </w:rPr>
  </w:style>
  <w:style w:type="character" w:customStyle="1" w:styleId="21">
    <w:name w:val="列出段落 Char"/>
    <w:link w:val="22"/>
    <w:qFormat/>
    <w:uiPriority w:val="34"/>
    <w:rPr>
      <w:rFonts w:ascii="Calibri" w:hAnsi="Calibri"/>
    </w:rPr>
  </w:style>
  <w:style w:type="paragraph" w:styleId="22">
    <w:name w:val="List Paragraph"/>
    <w:basedOn w:val="1"/>
    <w:link w:val="21"/>
    <w:qFormat/>
    <w:uiPriority w:val="34"/>
    <w:pPr>
      <w:ind w:firstLine="420" w:firstLineChars="200"/>
    </w:pPr>
    <w:rPr>
      <w:rFonts w:ascii="Calibri" w:hAnsi="Calibri"/>
    </w:rPr>
  </w:style>
  <w:style w:type="character" w:customStyle="1" w:styleId="23">
    <w:name w:val="批注文字 Char"/>
    <w:basedOn w:val="13"/>
    <w:link w:val="5"/>
    <w:semiHidden/>
    <w:qFormat/>
    <w:uiPriority w:val="99"/>
  </w:style>
  <w:style w:type="character" w:customStyle="1" w:styleId="24">
    <w:name w:val="批注主题 Char"/>
    <w:basedOn w:val="23"/>
    <w:link w:val="4"/>
    <w:semiHidden/>
    <w:qFormat/>
    <w:uiPriority w:val="99"/>
    <w:rPr>
      <w:b/>
      <w:bCs/>
    </w:rPr>
  </w:style>
  <w:style w:type="character" w:customStyle="1" w:styleId="25">
    <w:name w:val="批注框文本 Char"/>
    <w:basedOn w:val="13"/>
    <w:link w:val="7"/>
    <w:semiHidden/>
    <w:qFormat/>
    <w:uiPriority w:val="99"/>
    <w:rPr>
      <w:sz w:val="18"/>
      <w:szCs w:val="18"/>
    </w:rPr>
  </w:style>
  <w:style w:type="paragraph" w:customStyle="1" w:styleId="26">
    <w:name w:val="Table Paragraph"/>
    <w:basedOn w:val="1"/>
    <w:qFormat/>
    <w:uiPriority w:val="1"/>
    <w:rPr>
      <w:sz w:val="22"/>
      <w:lang w:eastAsia="en-US"/>
    </w:rPr>
  </w:style>
  <w:style w:type="paragraph" w:customStyle="1" w:styleId="27">
    <w:name w:val="样式1"/>
    <w:basedOn w:val="1"/>
    <w:qFormat/>
    <w:uiPriority w:val="0"/>
    <w:pPr>
      <w:numPr>
        <w:ilvl w:val="0"/>
        <w:numId w:val="1"/>
      </w:numPr>
    </w:pPr>
    <w:rPr>
      <w:rFonts w:ascii="宋体" w:hAnsi="宋体"/>
      <w:szCs w:val="21"/>
    </w:rPr>
  </w:style>
  <w:style w:type="character" w:customStyle="1" w:styleId="28">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751</Words>
  <Characters>4284</Characters>
  <Lines>35</Lines>
  <Paragraphs>10</Paragraphs>
  <TotalTime>1</TotalTime>
  <ScaleCrop>false</ScaleCrop>
  <LinksUpToDate>false</LinksUpToDate>
  <CharactersWithSpaces>5025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2022-04-18T12:00:00Z</dcterms:created>
  <dc:creator>强文晓</dc:creator>
  <cp:lastModifiedBy>Administrator</cp:lastModifiedBy>
  <cp:lastPrinted>2022-05-24T08:32:00Z</cp:lastPrinted>
  <dcterms:modified xsi:type="dcterms:W3CDTF">2022-05-28T06:31:25Z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