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AAF8" w14:textId="77777777" w:rsidR="00837BD9" w:rsidRDefault="00837BD9" w:rsidP="00837BD9">
      <w:pPr>
        <w:keepNext/>
        <w:widowControl w:val="0"/>
        <w:topLinePunct/>
        <w:autoSpaceDN w:val="0"/>
        <w:adjustRightInd w:val="0"/>
        <w:snapToGrid w:val="0"/>
        <w:spacing w:line="540" w:lineRule="exact"/>
        <w:jc w:val="both"/>
        <w:rPr>
          <w:rFonts w:ascii="仿宋_GB2312" w:eastAsia="仿宋_GB2312" w:hAnsi="仿宋_GB2312" w:cs="仿宋_GB2312" w:hint="eastAsia"/>
          <w:sz w:val="32"/>
          <w:szCs w:val="32"/>
        </w:rPr>
      </w:pPr>
      <w:r>
        <w:rPr>
          <w:rFonts w:ascii="黑体" w:eastAsia="黑体" w:hAnsi="黑体" w:cs="黑体" w:hint="eastAsia"/>
          <w:spacing w:val="-2"/>
          <w:kern w:val="44"/>
          <w:sz w:val="32"/>
          <w:szCs w:val="32"/>
        </w:rPr>
        <w:t>附件1</w:t>
      </w:r>
    </w:p>
    <w:p w14:paraId="418EDD03" w14:textId="77777777" w:rsidR="00837BD9" w:rsidRDefault="00837BD9" w:rsidP="00837BD9">
      <w:pPr>
        <w:keepNext/>
        <w:widowControl w:val="0"/>
        <w:topLinePunct/>
        <w:autoSpaceDN w:val="0"/>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积极应对人口老龄化优秀研究成果</w:t>
      </w:r>
    </w:p>
    <w:p w14:paraId="20C18BAA" w14:textId="77777777" w:rsidR="00837BD9" w:rsidRDefault="00837BD9" w:rsidP="00837BD9">
      <w:pPr>
        <w:keepNext/>
        <w:widowControl w:val="0"/>
        <w:topLinePunct/>
        <w:autoSpaceDN w:val="0"/>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征集选题参考</w:t>
      </w:r>
    </w:p>
    <w:p w14:paraId="3C17CEDA" w14:textId="77777777" w:rsidR="00837BD9" w:rsidRDefault="00837BD9" w:rsidP="00837BD9">
      <w:pPr>
        <w:keepNext/>
        <w:widowControl w:val="0"/>
        <w:topLinePunct/>
        <w:autoSpaceDN w:val="0"/>
        <w:adjustRightInd w:val="0"/>
        <w:snapToGrid w:val="0"/>
        <w:spacing w:line="360" w:lineRule="auto"/>
        <w:jc w:val="center"/>
        <w:rPr>
          <w:rFonts w:ascii="仿宋_GB2312" w:eastAsia="仿宋_GB2312" w:hAnsi="仿宋_GB2312" w:cs="仿宋_GB2312" w:hint="eastAsia"/>
          <w:b/>
          <w:bCs/>
          <w:spacing w:val="1"/>
          <w:sz w:val="32"/>
          <w:szCs w:val="32"/>
        </w:rPr>
      </w:pPr>
    </w:p>
    <w:p w14:paraId="78674FB8"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一、习近平总书记关于老龄工作重要论述研究</w:t>
      </w:r>
    </w:p>
    <w:p w14:paraId="2E6A2D79"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贯彻落实党的十九大精神和习近平总书记关于积极应对人口老龄化和加强老龄工作的重要论述，深刻认识应对人口老龄化战略重要意义，就人口老龄化形势、加强和改进老龄工作、促进老龄事业发展提出意见和建议。</w:t>
      </w:r>
    </w:p>
    <w:p w14:paraId="3A5F3687"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sz w:val="32"/>
          <w:szCs w:val="32"/>
        </w:rPr>
      </w:pPr>
      <w:r>
        <w:rPr>
          <w:rFonts w:ascii="黑体" w:eastAsia="黑体" w:hAnsi="黑体" w:cs="黑体" w:hint="eastAsia"/>
          <w:b w:val="0"/>
          <w:bCs w:val="0"/>
          <w:sz w:val="32"/>
          <w:szCs w:val="32"/>
        </w:rPr>
        <w:t>二、“十四五”时期人口老龄化的趋势及特点研究</w:t>
      </w:r>
    </w:p>
    <w:p w14:paraId="71BB9C07"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围绕“十四五”时期人口老龄化的发展速度、特点、规律，老年人口规模，性别、年龄结构，基本社会经济特征，迁移流动特点，婚姻家庭状况，居住方式，老年人口的失能、失智发生率，疾病模型，死亡风险等议题，开展的相关科学研究成果。</w:t>
      </w:r>
    </w:p>
    <w:p w14:paraId="455DA138"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sz w:val="32"/>
          <w:szCs w:val="32"/>
        </w:rPr>
      </w:pPr>
      <w:r>
        <w:rPr>
          <w:rFonts w:ascii="黑体" w:eastAsia="黑体" w:hAnsi="黑体" w:cs="黑体" w:hint="eastAsia"/>
          <w:b w:val="0"/>
          <w:bCs w:val="0"/>
          <w:sz w:val="32"/>
          <w:szCs w:val="32"/>
        </w:rPr>
        <w:t>三、“十四五”时期老年社会保障体系建设研究</w:t>
      </w:r>
    </w:p>
    <w:p w14:paraId="33FEB1BE"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“十四五”时期进一步完善基本养老保险、基本医疗保险制度，加快建立长期照护保险，以及健全老年人社会福利、</w:t>
      </w:r>
      <w:r>
        <w:rPr>
          <w:rFonts w:ascii="仿宋_GB2312" w:eastAsia="仿宋_GB2312" w:hAnsi="仿宋_GB2312" w:cs="仿宋_GB2312" w:hint="eastAsia"/>
          <w:sz w:val="32"/>
          <w:szCs w:val="32"/>
        </w:rPr>
        <w:lastRenderedPageBreak/>
        <w:t>社会服务和社会救助等方面的研究成果。</w:t>
      </w:r>
    </w:p>
    <w:p w14:paraId="4CF59C0A"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黑体" w:eastAsia="黑体" w:hAnsi="黑体" w:cs="黑体" w:hint="eastAsia"/>
          <w:sz w:val="32"/>
          <w:szCs w:val="32"/>
        </w:rPr>
      </w:pPr>
      <w:r>
        <w:rPr>
          <w:rFonts w:ascii="黑体" w:eastAsia="黑体" w:hAnsi="黑体" w:cs="黑体" w:hint="eastAsia"/>
          <w:sz w:val="32"/>
          <w:szCs w:val="32"/>
        </w:rPr>
        <w:t>四、健全老年健康服务体系</w:t>
      </w:r>
    </w:p>
    <w:p w14:paraId="0570198E"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括但不限于以下方面研究成果：老年健康教育、预防保健、疾病诊治、康复护理、长期照护服务、安宁疗护服务体系建设，中医药在养老健康服务中的积极作用，农村老年健康支持体系建设，疫情常态化下老年人健康服务需求及保障等。</w:t>
      </w:r>
    </w:p>
    <w:p w14:paraId="389121F8"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五、深入推进医养结合发展</w:t>
      </w:r>
    </w:p>
    <w:p w14:paraId="32D10894"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包含但不限于以下方面研究成果：家庭照料床位建设、医养结合服务能力建设与质量评价体系研究、医养结合服务需求与影响因素研究、医养结合机构“放管服”改革、医养结合人才队伍建设、中医药在医养结合方面的应用、智慧健康养老推进路径研究、疫情常态化下医养结合服务、医养结合激励机制建设与健全医养结合支持保障体系、社区医养服务能力提升的现状问题及对策研究等。</w:t>
      </w:r>
    </w:p>
    <w:p w14:paraId="1842D54F"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六、深入推进养老服务发展</w:t>
      </w:r>
    </w:p>
    <w:p w14:paraId="56FDEC5F"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结合养老服务体系建设现状，特别是存在的突出难点、痛点、堵点等问题的深入实证研究成果和政策建议；经济发</w:t>
      </w:r>
      <w:r>
        <w:rPr>
          <w:rFonts w:ascii="仿宋_GB2312" w:eastAsia="仿宋_GB2312" w:hAnsi="仿宋_GB2312" w:cs="仿宋_GB2312" w:hint="eastAsia"/>
          <w:sz w:val="32"/>
          <w:szCs w:val="32"/>
        </w:rPr>
        <w:lastRenderedPageBreak/>
        <w:t>展新常态下培育和大力发展老龄产业、老龄科技企业、涉老文化创意产业、养老金融产品开发等的政策建议研究，优化养老产业发展环境等方面的研究成果和政策建议意见。</w:t>
      </w:r>
    </w:p>
    <w:p w14:paraId="6661ECF3"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七、建设老年友好宜居环境</w:t>
      </w:r>
    </w:p>
    <w:p w14:paraId="55CC0A75"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于老旧小区适老化改造、老年居家适老化改造，“全龄化社区”规划建设、建设老年友好宜居环境等领域的研究成果及优秀案例；加强老年人权益维护、推进和加快老年教育发展，强化家庭支持，构建养老、孝老、敬老的社会环境等议题。</w:t>
      </w:r>
    </w:p>
    <w:p w14:paraId="0FB9FEBA"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八、提高老龄社会治理能力</w:t>
      </w:r>
    </w:p>
    <w:p w14:paraId="6D6DDF56"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推进国家治理体系和治理能力现代化下老龄工作理论研究，老龄工作方式方法创新发展的优秀案例，老年人权益维护的挑战及对策；老年人社会发展的渠道、障碍（如消除数字鸿沟）及形式、老年人在社会治理体系中的积极价值和作用，老年人社会融入等议题的研究成果和政策建议。</w:t>
      </w:r>
    </w:p>
    <w:p w14:paraId="2B1DE82B"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黑体" w:eastAsia="黑体" w:hAnsi="黑体" w:cs="黑体" w:hint="eastAsia"/>
          <w:sz w:val="32"/>
          <w:szCs w:val="32"/>
        </w:rPr>
      </w:pPr>
      <w:r>
        <w:rPr>
          <w:rFonts w:ascii="黑体" w:eastAsia="黑体" w:hAnsi="黑体" w:cs="黑体" w:hint="eastAsia"/>
          <w:sz w:val="32"/>
          <w:szCs w:val="32"/>
        </w:rPr>
        <w:t>九、京津冀老龄工作协同发展</w:t>
      </w:r>
    </w:p>
    <w:p w14:paraId="35609243"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京津冀老龄事业、产业协同发展现状、存在突出问题及</w:t>
      </w:r>
      <w:r>
        <w:rPr>
          <w:rFonts w:ascii="仿宋_GB2312" w:eastAsia="仿宋_GB2312" w:hAnsi="仿宋_GB2312" w:cs="仿宋_GB2312" w:hint="eastAsia"/>
          <w:sz w:val="32"/>
          <w:szCs w:val="32"/>
        </w:rPr>
        <w:lastRenderedPageBreak/>
        <w:t>政策建议的优秀研究成果。</w:t>
      </w:r>
    </w:p>
    <w:p w14:paraId="54D7E99B"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黑体" w:eastAsia="黑体" w:hAnsi="黑体" w:cs="黑体" w:hint="eastAsia"/>
          <w:b w:val="0"/>
          <w:bCs w:val="0"/>
          <w:sz w:val="32"/>
          <w:szCs w:val="32"/>
        </w:rPr>
      </w:pPr>
      <w:r>
        <w:rPr>
          <w:rFonts w:ascii="黑体" w:eastAsia="黑体" w:hAnsi="黑体" w:cs="黑体" w:hint="eastAsia"/>
          <w:b w:val="0"/>
          <w:bCs w:val="0"/>
          <w:sz w:val="32"/>
          <w:szCs w:val="32"/>
        </w:rPr>
        <w:t>十、老有所为和社会参与</w:t>
      </w:r>
    </w:p>
    <w:p w14:paraId="7A29D445"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老年人力资源开发；调动老年人参加社会活动积极性，参加志愿者服务组织的政策、建议。</w:t>
      </w:r>
    </w:p>
    <w:p w14:paraId="31C149A9" w14:textId="77777777" w:rsidR="00837BD9" w:rsidRDefault="00837BD9" w:rsidP="00837BD9">
      <w:pPr>
        <w:keepNext/>
        <w:widowControl w:val="0"/>
        <w:topLinePunct/>
        <w:autoSpaceDN w:val="0"/>
        <w:adjustRightInd w:val="0"/>
        <w:snapToGrid w:val="0"/>
        <w:spacing w:line="360" w:lineRule="auto"/>
        <w:ind w:firstLineChars="200" w:firstLine="640"/>
        <w:jc w:val="both"/>
        <w:rPr>
          <w:rFonts w:ascii="黑体" w:eastAsia="黑体" w:hAnsi="黑体" w:cs="黑体" w:hint="eastAsia"/>
          <w:sz w:val="32"/>
          <w:szCs w:val="32"/>
        </w:rPr>
      </w:pPr>
      <w:r>
        <w:rPr>
          <w:rFonts w:ascii="黑体" w:eastAsia="黑体" w:hAnsi="黑体" w:cs="黑体" w:hint="eastAsia"/>
          <w:sz w:val="32"/>
          <w:szCs w:val="32"/>
        </w:rPr>
        <w:t>十一、其它与积极应对人口老龄化密切相关的选题</w:t>
      </w:r>
    </w:p>
    <w:p w14:paraId="5F33B621" w14:textId="77777777" w:rsidR="00837BD9" w:rsidRDefault="00837BD9" w:rsidP="00837BD9">
      <w:pPr>
        <w:pStyle w:val="1"/>
        <w:keepLines w:val="0"/>
        <w:widowControl w:val="0"/>
        <w:topLinePunct/>
        <w:autoSpaceDN w:val="0"/>
        <w:adjustRightInd w:val="0"/>
        <w:snapToGrid w:val="0"/>
        <w:spacing w:before="0" w:after="0" w:line="360" w:lineRule="auto"/>
        <w:ind w:firstLineChars="200" w:firstLine="640"/>
        <w:jc w:val="both"/>
        <w:rPr>
          <w:rFonts w:ascii="仿宋_GB2312" w:eastAsia="仿宋_GB2312" w:hAnsi="仿宋_GB2312" w:cs="仿宋_GB2312" w:hint="eastAsia"/>
          <w:b w:val="0"/>
          <w:bCs w:val="0"/>
          <w:sz w:val="32"/>
          <w:szCs w:val="32"/>
        </w:rPr>
      </w:pPr>
    </w:p>
    <w:p w14:paraId="6F81564B" w14:textId="77777777" w:rsidR="00601204" w:rsidRPr="00837BD9" w:rsidRDefault="00601204"/>
    <w:sectPr w:rsidR="00601204" w:rsidRPr="00837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F218" w14:textId="77777777" w:rsidR="00F17FD7" w:rsidRDefault="00F17FD7" w:rsidP="00837BD9">
      <w:r>
        <w:separator/>
      </w:r>
    </w:p>
  </w:endnote>
  <w:endnote w:type="continuationSeparator" w:id="0">
    <w:p w14:paraId="275821CB" w14:textId="77777777" w:rsidR="00F17FD7" w:rsidRDefault="00F17FD7" w:rsidP="008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6C39" w14:textId="77777777" w:rsidR="00F17FD7" w:rsidRDefault="00F17FD7" w:rsidP="00837BD9">
      <w:r>
        <w:separator/>
      </w:r>
    </w:p>
  </w:footnote>
  <w:footnote w:type="continuationSeparator" w:id="0">
    <w:p w14:paraId="627E1D28" w14:textId="77777777" w:rsidR="00F17FD7" w:rsidRDefault="00F17FD7" w:rsidP="0083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41"/>
    <w:rsid w:val="00601204"/>
    <w:rsid w:val="00837BD9"/>
    <w:rsid w:val="00D73A41"/>
    <w:rsid w:val="00F1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78A9B4-4BF0-45B4-975B-733FDABE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BD9"/>
    <w:rPr>
      <w:rFonts w:ascii="Times New Roman" w:eastAsia="等线" w:hAnsi="Times New Roman" w:cs="Times New Roman"/>
      <w:kern w:val="0"/>
      <w:sz w:val="24"/>
      <w:szCs w:val="24"/>
    </w:rPr>
  </w:style>
  <w:style w:type="paragraph" w:styleId="1">
    <w:name w:val="heading 1"/>
    <w:basedOn w:val="a"/>
    <w:next w:val="a"/>
    <w:link w:val="10"/>
    <w:uiPriority w:val="9"/>
    <w:qFormat/>
    <w:rsid w:val="00837B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BD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37BD9"/>
    <w:rPr>
      <w:sz w:val="18"/>
      <w:szCs w:val="18"/>
    </w:rPr>
  </w:style>
  <w:style w:type="paragraph" w:styleId="a5">
    <w:name w:val="footer"/>
    <w:basedOn w:val="a"/>
    <w:link w:val="a6"/>
    <w:uiPriority w:val="99"/>
    <w:unhideWhenUsed/>
    <w:rsid w:val="00837BD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37BD9"/>
    <w:rPr>
      <w:sz w:val="18"/>
      <w:szCs w:val="18"/>
    </w:rPr>
  </w:style>
  <w:style w:type="character" w:customStyle="1" w:styleId="10">
    <w:name w:val="标题 1 字符"/>
    <w:basedOn w:val="a0"/>
    <w:link w:val="1"/>
    <w:uiPriority w:val="9"/>
    <w:qFormat/>
    <w:rsid w:val="00837BD9"/>
    <w:rPr>
      <w:rFonts w:ascii="Times New Roman" w:eastAsia="等线" w:hAnsi="Times New Roman" w:cs="Times New Roman"/>
      <w:b/>
      <w:bCs/>
      <w:kern w:val="44"/>
      <w:sz w:val="44"/>
      <w:szCs w:val="44"/>
    </w:rPr>
  </w:style>
  <w:style w:type="paragraph" w:customStyle="1" w:styleId="Char">
    <w:name w:val=" Char"/>
    <w:basedOn w:val="a"/>
    <w:rsid w:val="00837BD9"/>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2020-09-25T02:58:00Z</dcterms:created>
  <dcterms:modified xsi:type="dcterms:W3CDTF">2020-09-25T02:59:00Z</dcterms:modified>
</cp:coreProperties>
</file>