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46CC1" w14:textId="77777777" w:rsidR="003B2BDB" w:rsidRDefault="003B2BDB" w:rsidP="003B2BDB">
      <w:pPr>
        <w:spacing w:line="58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tbl>
      <w:tblPr>
        <w:tblW w:w="10802" w:type="dxa"/>
        <w:jc w:val="center"/>
        <w:tblLayout w:type="fixed"/>
        <w:tblLook w:val="04A0" w:firstRow="1" w:lastRow="0" w:firstColumn="1" w:lastColumn="0" w:noHBand="0" w:noVBand="1"/>
      </w:tblPr>
      <w:tblGrid>
        <w:gridCol w:w="455"/>
        <w:gridCol w:w="728"/>
        <w:gridCol w:w="21"/>
        <w:gridCol w:w="1121"/>
        <w:gridCol w:w="3399"/>
        <w:gridCol w:w="878"/>
        <w:gridCol w:w="593"/>
        <w:gridCol w:w="1129"/>
        <w:gridCol w:w="856"/>
        <w:gridCol w:w="1622"/>
      </w:tblGrid>
      <w:tr w:rsidR="003B2BDB" w14:paraId="10898009" w14:textId="77777777" w:rsidTr="00913689">
        <w:trPr>
          <w:trHeight w:val="533"/>
          <w:jc w:val="center"/>
        </w:trPr>
        <w:tc>
          <w:tcPr>
            <w:tcW w:w="10802" w:type="dxa"/>
            <w:gridSpan w:val="10"/>
            <w:tcMar>
              <w:top w:w="15" w:type="dxa"/>
              <w:left w:w="15" w:type="dxa"/>
              <w:bottom w:w="15" w:type="dxa"/>
              <w:right w:w="15" w:type="dxa"/>
            </w:tcMar>
            <w:vAlign w:val="center"/>
            <w:hideMark/>
          </w:tcPr>
          <w:p w14:paraId="259CEEFF" w14:textId="77777777" w:rsidR="003B2BDB" w:rsidRDefault="003B2BDB">
            <w:pPr>
              <w:widowControl/>
              <w:jc w:val="center"/>
              <w:textAlignment w:val="center"/>
              <w:rPr>
                <w:rFonts w:ascii="宋体" w:hAnsi="宋体" w:cs="宋体"/>
                <w:b/>
                <w:color w:val="000000"/>
                <w:sz w:val="40"/>
                <w:szCs w:val="40"/>
              </w:rPr>
            </w:pPr>
            <w:r>
              <w:rPr>
                <w:rFonts w:ascii="宋体" w:hAnsi="宋体" w:cs="宋体" w:hint="eastAsia"/>
                <w:b/>
                <w:color w:val="000000"/>
                <w:kern w:val="0"/>
                <w:sz w:val="40"/>
                <w:szCs w:val="40"/>
              </w:rPr>
              <w:t>2020年新增医疗服务价格项目规范表</w:t>
            </w:r>
          </w:p>
        </w:tc>
      </w:tr>
      <w:tr w:rsidR="003B2BDB" w14:paraId="12E15A5A" w14:textId="77777777" w:rsidTr="00913689">
        <w:trPr>
          <w:trHeight w:val="96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01931E" w14:textId="77777777" w:rsidR="003B2BDB" w:rsidRDefault="003B2BD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序号</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75A212" w14:textId="77777777" w:rsidR="003B2BDB" w:rsidRDefault="003B2BD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项目编码</w:t>
            </w:r>
          </w:p>
        </w:tc>
        <w:tc>
          <w:tcPr>
            <w:tcW w:w="11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D73A8C" w14:textId="77777777" w:rsidR="003B2BDB" w:rsidRDefault="003B2BD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项目名称</w:t>
            </w:r>
          </w:p>
        </w:tc>
        <w:tc>
          <w:tcPr>
            <w:tcW w:w="33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EDD491" w14:textId="77777777" w:rsidR="003B2BDB" w:rsidRDefault="003B2BD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项目内涵</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0091FF" w14:textId="77777777" w:rsidR="003B2BDB" w:rsidRDefault="003B2BD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除外内容</w:t>
            </w:r>
          </w:p>
        </w:tc>
        <w:tc>
          <w:tcPr>
            <w:tcW w:w="5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EDBCE0" w14:textId="77777777" w:rsidR="003B2BDB" w:rsidRDefault="003B2BD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计价单位</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73C407" w14:textId="77777777" w:rsidR="003B2BDB" w:rsidRDefault="003B2BD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计价说明</w:t>
            </w:r>
          </w:p>
        </w:tc>
        <w:tc>
          <w:tcPr>
            <w:tcW w:w="856"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14:paraId="3534148A" w14:textId="77777777" w:rsidR="003B2BDB" w:rsidRDefault="003B2BD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申报价格（元）</w:t>
            </w: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04BD5D" w14:textId="77777777" w:rsidR="003B2BDB" w:rsidRDefault="003B2BDB">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申报医院</w:t>
            </w:r>
          </w:p>
        </w:tc>
      </w:tr>
      <w:tr w:rsidR="003B2BDB" w14:paraId="56BB0AFD" w14:textId="77777777" w:rsidTr="00913689">
        <w:trPr>
          <w:trHeight w:val="1145"/>
          <w:jc w:val="center"/>
        </w:trPr>
        <w:tc>
          <w:tcPr>
            <w:tcW w:w="4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53DFB2"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1</w:t>
            </w:r>
          </w:p>
        </w:tc>
        <w:tc>
          <w:tcPr>
            <w:tcW w:w="72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B9A7ED"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TFYR0171</w:t>
            </w:r>
          </w:p>
        </w:tc>
        <w:tc>
          <w:tcPr>
            <w:tcW w:w="11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36BF708"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皮肤全反式共聚焦显微镜检查</w:t>
            </w:r>
          </w:p>
        </w:tc>
        <w:tc>
          <w:tcPr>
            <w:tcW w:w="339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F0AFC4"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采用合适体位，充分暴露皮损，滴涂生理盐水，固定共聚焦显微镜贴片，应用探头触及皮肤，尽量与皮面垂直，扫描皮损部位病理变化、病变深度，拍取数字图片及视频，结束时清洁局部皮肤。人工分析结果，出具报告。</w:t>
            </w:r>
          </w:p>
        </w:tc>
        <w:tc>
          <w:tcPr>
            <w:tcW w:w="87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93E571" w14:textId="77777777" w:rsidR="003B2BDB" w:rsidRDefault="003B2BDB">
            <w:pPr>
              <w:jc w:val="center"/>
              <w:rPr>
                <w:rFonts w:ascii="仿宋" w:eastAsia="仿宋" w:hAnsi="仿宋" w:cs="仿宋"/>
                <w:b/>
                <w:color w:val="000000"/>
                <w:sz w:val="22"/>
                <w:szCs w:val="22"/>
              </w:rPr>
            </w:pPr>
          </w:p>
        </w:tc>
        <w:tc>
          <w:tcPr>
            <w:tcW w:w="59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D607F9"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部位</w:t>
            </w:r>
          </w:p>
        </w:tc>
        <w:tc>
          <w:tcPr>
            <w:tcW w:w="1129" w:type="dxa"/>
            <w:vMerge w:val="restart"/>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14:paraId="68FCD92F" w14:textId="77777777" w:rsidR="003B2BDB" w:rsidRDefault="003B2BDB">
            <w:pPr>
              <w:jc w:val="center"/>
              <w:rPr>
                <w:rFonts w:ascii="仿宋" w:eastAsia="仿宋" w:hAnsi="仿宋" w:cs="仿宋"/>
                <w:b/>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24D87C"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 xml:space="preserve"> 100</w:t>
            </w:r>
          </w:p>
        </w:tc>
        <w:tc>
          <w:tcPr>
            <w:tcW w:w="162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14:paraId="6B91E2EA"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中日友好医院</w:t>
            </w:r>
          </w:p>
        </w:tc>
      </w:tr>
      <w:tr w:rsidR="003B2BDB" w14:paraId="271891D2" w14:textId="77777777" w:rsidTr="00913689">
        <w:trPr>
          <w:trHeight w:val="990"/>
          <w:jc w:val="center"/>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60A17FF9" w14:textId="77777777" w:rsidR="003B2BDB" w:rsidRDefault="003B2BDB">
            <w:pPr>
              <w:widowControl/>
              <w:jc w:val="left"/>
              <w:rPr>
                <w:rFonts w:ascii="仿宋" w:eastAsia="仿宋" w:hAnsi="仿宋" w:cs="仿宋"/>
                <w:b/>
                <w:color w:val="000000"/>
                <w:sz w:val="22"/>
                <w:szCs w:val="22"/>
              </w:rPr>
            </w:pPr>
          </w:p>
        </w:tc>
        <w:tc>
          <w:tcPr>
            <w:tcW w:w="728" w:type="dxa"/>
            <w:vMerge/>
            <w:tcBorders>
              <w:top w:val="single" w:sz="4" w:space="0" w:color="000000"/>
              <w:left w:val="single" w:sz="4" w:space="0" w:color="000000"/>
              <w:bottom w:val="single" w:sz="4" w:space="0" w:color="000000"/>
              <w:right w:val="single" w:sz="4" w:space="0" w:color="000000"/>
            </w:tcBorders>
            <w:vAlign w:val="center"/>
            <w:hideMark/>
          </w:tcPr>
          <w:p w14:paraId="2EB75B29" w14:textId="77777777" w:rsidR="003B2BDB" w:rsidRDefault="003B2BDB">
            <w:pPr>
              <w:widowControl/>
              <w:jc w:val="left"/>
              <w:rPr>
                <w:rFonts w:ascii="仿宋" w:eastAsia="仿宋" w:hAnsi="仿宋" w:cs="仿宋"/>
                <w:b/>
                <w:color w:val="000000"/>
                <w:sz w:val="22"/>
                <w:szCs w:val="22"/>
              </w:rPr>
            </w:pPr>
          </w:p>
        </w:tc>
        <w:tc>
          <w:tcPr>
            <w:tcW w:w="1142" w:type="dxa"/>
            <w:gridSpan w:val="2"/>
            <w:vMerge/>
            <w:tcBorders>
              <w:top w:val="single" w:sz="4" w:space="0" w:color="000000"/>
              <w:left w:val="single" w:sz="4" w:space="0" w:color="000000"/>
              <w:bottom w:val="single" w:sz="4" w:space="0" w:color="000000"/>
              <w:right w:val="single" w:sz="4" w:space="0" w:color="000000"/>
            </w:tcBorders>
            <w:vAlign w:val="center"/>
            <w:hideMark/>
          </w:tcPr>
          <w:p w14:paraId="4B30F65B" w14:textId="77777777" w:rsidR="003B2BDB" w:rsidRDefault="003B2BDB">
            <w:pPr>
              <w:widowControl/>
              <w:jc w:val="left"/>
              <w:rPr>
                <w:rFonts w:ascii="仿宋" w:eastAsia="仿宋" w:hAnsi="仿宋" w:cs="仿宋"/>
                <w:b/>
                <w:color w:val="000000"/>
                <w:sz w:val="22"/>
                <w:szCs w:val="22"/>
              </w:rPr>
            </w:pPr>
          </w:p>
        </w:tc>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3067DF52" w14:textId="77777777" w:rsidR="003B2BDB" w:rsidRDefault="003B2BDB">
            <w:pPr>
              <w:widowControl/>
              <w:jc w:val="left"/>
              <w:rPr>
                <w:rFonts w:ascii="仿宋" w:eastAsia="仿宋" w:hAnsi="仿宋" w:cs="仿宋"/>
                <w:b/>
                <w:color w:val="000000"/>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1BEF1399" w14:textId="77777777" w:rsidR="003B2BDB" w:rsidRDefault="003B2BDB">
            <w:pPr>
              <w:widowControl/>
              <w:jc w:val="left"/>
              <w:rPr>
                <w:rFonts w:ascii="仿宋" w:eastAsia="仿宋" w:hAnsi="仿宋" w:cs="仿宋"/>
                <w:b/>
                <w:color w:val="000000"/>
                <w:sz w:val="22"/>
                <w:szCs w:val="22"/>
              </w:rPr>
            </w:pPr>
          </w:p>
        </w:tc>
        <w:tc>
          <w:tcPr>
            <w:tcW w:w="593" w:type="dxa"/>
            <w:vMerge/>
            <w:tcBorders>
              <w:top w:val="single" w:sz="4" w:space="0" w:color="000000"/>
              <w:left w:val="single" w:sz="4" w:space="0" w:color="000000"/>
              <w:bottom w:val="single" w:sz="4" w:space="0" w:color="000000"/>
              <w:right w:val="single" w:sz="4" w:space="0" w:color="000000"/>
            </w:tcBorders>
            <w:vAlign w:val="center"/>
            <w:hideMark/>
          </w:tcPr>
          <w:p w14:paraId="3DCFA102" w14:textId="77777777" w:rsidR="003B2BDB" w:rsidRDefault="003B2BDB">
            <w:pPr>
              <w:widowControl/>
              <w:jc w:val="left"/>
              <w:rPr>
                <w:rFonts w:ascii="仿宋" w:eastAsia="仿宋" w:hAnsi="仿宋" w:cs="仿宋"/>
                <w:b/>
                <w:color w:val="000000"/>
                <w:sz w:val="22"/>
                <w:szCs w:val="22"/>
              </w:rPr>
            </w:pPr>
          </w:p>
        </w:tc>
        <w:tc>
          <w:tcPr>
            <w:tcW w:w="1129" w:type="dxa"/>
            <w:vMerge/>
            <w:tcBorders>
              <w:top w:val="single" w:sz="4" w:space="0" w:color="000000"/>
              <w:left w:val="single" w:sz="4" w:space="0" w:color="000000"/>
              <w:bottom w:val="single" w:sz="4" w:space="0" w:color="000000"/>
              <w:right w:val="nil"/>
            </w:tcBorders>
            <w:vAlign w:val="center"/>
            <w:hideMark/>
          </w:tcPr>
          <w:p w14:paraId="6160AE0E" w14:textId="77777777" w:rsidR="003B2BDB" w:rsidRDefault="003B2BDB">
            <w:pPr>
              <w:widowControl/>
              <w:jc w:val="left"/>
              <w:rPr>
                <w:rFonts w:ascii="仿宋" w:eastAsia="仿宋" w:hAnsi="仿宋" w:cs="仿宋"/>
                <w:b/>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02313E"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 xml:space="preserve"> 100</w:t>
            </w:r>
          </w:p>
        </w:tc>
        <w:tc>
          <w:tcPr>
            <w:tcW w:w="1622" w:type="dxa"/>
            <w:tcBorders>
              <w:top w:val="single" w:sz="4" w:space="0" w:color="000000"/>
              <w:left w:val="nil"/>
              <w:bottom w:val="single" w:sz="4" w:space="0" w:color="000000"/>
              <w:right w:val="single" w:sz="4" w:space="0" w:color="000000"/>
            </w:tcBorders>
            <w:tcMar>
              <w:top w:w="15" w:type="dxa"/>
              <w:left w:w="15" w:type="dxa"/>
              <w:bottom w:w="15" w:type="dxa"/>
              <w:right w:w="15" w:type="dxa"/>
            </w:tcMar>
            <w:vAlign w:val="center"/>
            <w:hideMark/>
          </w:tcPr>
          <w:p w14:paraId="5027EF6A"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中国人民解放军空军特色医学中心</w:t>
            </w:r>
          </w:p>
        </w:tc>
      </w:tr>
      <w:tr w:rsidR="003B2BDB" w14:paraId="155D6464" w14:textId="77777777" w:rsidTr="00913689">
        <w:trPr>
          <w:trHeight w:val="504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9EF6BC"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2</w:t>
            </w:r>
          </w:p>
        </w:tc>
        <w:tc>
          <w:tcPr>
            <w:tcW w:w="72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6C7526"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TCENE801</w:t>
            </w:r>
          </w:p>
        </w:tc>
        <w:tc>
          <w:tcPr>
            <w:tcW w:w="114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D6E72F"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化学毒物定性定量检测</w:t>
            </w:r>
          </w:p>
        </w:tc>
        <w:tc>
          <w:tcPr>
            <w:tcW w:w="33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6FA847"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样本类型：人体各类样本如血液、尿液、唾液、脑脊液、胃内容物等；需分析处理的各类毒物检测样本如不明药液、不明口服液体、化学毒物沾染物、现场勘查采集样本等。样本处理：实施提取、纯化、浓缩、离心、过滤等处理，使之符合气相和液相色谱质谱的分析检测要求。同时预备准备可能筛查到的对应毒物标准品处理分析样本，为对照检测明确定量做好安排。数据处理：第一步依托实验室已经建立的各类毒物标准品实物库和与之对应的色谱质谱标准曲线数据库进行检验筛查排查，快速分析数据，确定中毒毒物具体信息，进行定性检测；第二步根据定性的毒物具体信息，与预备准备的对应毒物标准品进行对照检测，明确中毒毒物浓度，进行定量检测，为后方临床收容的系统、精确个体化救治提供询证医学主要依据。</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977A18" w14:textId="77777777" w:rsidR="003B2BDB" w:rsidRDefault="003B2BDB">
            <w:pPr>
              <w:jc w:val="left"/>
              <w:rPr>
                <w:rFonts w:ascii="仿宋" w:eastAsia="仿宋" w:hAnsi="仿宋" w:cs="仿宋"/>
                <w:b/>
                <w:color w:val="000000"/>
                <w:sz w:val="22"/>
                <w:szCs w:val="22"/>
              </w:rPr>
            </w:pPr>
          </w:p>
        </w:tc>
        <w:tc>
          <w:tcPr>
            <w:tcW w:w="5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33BD71"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次</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AF75FE8"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对一个检测样本一次性至少进行常见350种以上的毒物标准曲线分析、筛查和对照实验，同时进行定性、定量检验分析，单纯或混合中毒毒物的性质和样本浓度。</w:t>
            </w:r>
          </w:p>
        </w:tc>
        <w:tc>
          <w:tcPr>
            <w:tcW w:w="856"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27288B"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 xml:space="preserve"> 1,100 </w:t>
            </w: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C4B0721"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中国人民解放军总医院第五医学中心</w:t>
            </w:r>
          </w:p>
        </w:tc>
      </w:tr>
      <w:tr w:rsidR="003B2BDB" w14:paraId="7D675854" w14:textId="77777777" w:rsidTr="00913689">
        <w:trPr>
          <w:trHeight w:val="3720"/>
          <w:jc w:val="center"/>
        </w:trPr>
        <w:tc>
          <w:tcPr>
            <w:tcW w:w="45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E11D48"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lastRenderedPageBreak/>
              <w:t>3</w:t>
            </w:r>
          </w:p>
        </w:tc>
        <w:tc>
          <w:tcPr>
            <w:tcW w:w="749"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2D1B89"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TCEND801</w:t>
            </w:r>
          </w:p>
        </w:tc>
        <w:tc>
          <w:tcPr>
            <w:tcW w:w="11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864272"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化学毒物定性检测</w:t>
            </w:r>
          </w:p>
        </w:tc>
        <w:tc>
          <w:tcPr>
            <w:tcW w:w="33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AFC390"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样本类型：人体各类样本如血液、尿液、唾液、脑脊液、胃内容物等；需分析处理的各类毒物检测样本如不明药液、不明口服液体、化学毒物沾染物、现场勘查采集样本等。样本采集：实施提取、纯化、浓缩，离心、过滤等处理，使之符合气相和液相色谱质谱的分析检测要求。数据处理：依托实验室已经建立的各类毒物标准品实物库和与之对应的色谱标准曲线数据库，进行多种已知毒物的检验筛查排查，快速分析数据，确定单纯性中毒和混合性中毒毒物的具体信息，为现场紧急救援和临床应急救治的经验性处置提供主要依据。</w:t>
            </w:r>
          </w:p>
        </w:tc>
        <w:tc>
          <w:tcPr>
            <w:tcW w:w="8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8EE5557" w14:textId="77777777" w:rsidR="003B2BDB" w:rsidRDefault="003B2BDB">
            <w:pPr>
              <w:jc w:val="left"/>
              <w:rPr>
                <w:rFonts w:ascii="仿宋" w:eastAsia="仿宋" w:hAnsi="仿宋" w:cs="仿宋"/>
                <w:b/>
                <w:color w:val="000000"/>
                <w:sz w:val="22"/>
                <w:szCs w:val="22"/>
              </w:rPr>
            </w:pPr>
          </w:p>
        </w:tc>
        <w:tc>
          <w:tcPr>
            <w:tcW w:w="5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4CB5E9"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次</w:t>
            </w:r>
          </w:p>
        </w:tc>
        <w:tc>
          <w:tcPr>
            <w:tcW w:w="11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EB742C"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对一个检测样本一次性至少进行常见350种以上的毒物标准曲线分析和筛查，捕捉和定性单纯或混合中毒毒物的具体信息。</w:t>
            </w:r>
          </w:p>
        </w:tc>
        <w:tc>
          <w:tcPr>
            <w:tcW w:w="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D4B597"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 xml:space="preserve"> 800 </w:t>
            </w: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475A7D"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中国人民解放军总医院第五医学中心</w:t>
            </w:r>
          </w:p>
        </w:tc>
      </w:tr>
      <w:tr w:rsidR="003B2BDB" w14:paraId="46B7211B" w14:textId="77777777" w:rsidTr="00913689">
        <w:trPr>
          <w:trHeight w:val="1945"/>
          <w:jc w:val="center"/>
        </w:trPr>
        <w:tc>
          <w:tcPr>
            <w:tcW w:w="4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B49671"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4</w:t>
            </w:r>
          </w:p>
        </w:tc>
        <w:tc>
          <w:tcPr>
            <w:tcW w:w="74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FC0D59"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TCGQJ801</w:t>
            </w:r>
          </w:p>
        </w:tc>
        <w:tc>
          <w:tcPr>
            <w:tcW w:w="112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98CDD3"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结核感染T细胞检测</w:t>
            </w:r>
          </w:p>
        </w:tc>
        <w:tc>
          <w:tcPr>
            <w:tcW w:w="339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1CE95C"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样本类型：血液、胸水、腹水、心包积液、关节液、脑脊液等。样本采集，密度梯度离心分离单个核细胞，洗涤制备细胞悬液，结核分枝杆菌特异性抗原、植物血凝素等刺激，培养过夜，洗板，加标记二抗，洗板，加显色液，微孔板PVDF膜斑点显示，定性判断，仪器定量检测，质控，逐个斑点核对，计算结果，录入信息系统，审核结果，发送报告。按照规定处理废弃物；接受临床相关咨询。</w:t>
            </w:r>
          </w:p>
        </w:tc>
        <w:tc>
          <w:tcPr>
            <w:tcW w:w="878" w:type="dxa"/>
            <w:vMerge w:val="restart"/>
            <w:tcMar>
              <w:top w:w="15" w:type="dxa"/>
              <w:left w:w="15" w:type="dxa"/>
              <w:bottom w:w="15" w:type="dxa"/>
              <w:right w:w="15" w:type="dxa"/>
            </w:tcMar>
            <w:vAlign w:val="center"/>
          </w:tcPr>
          <w:p w14:paraId="7F315E79" w14:textId="77777777" w:rsidR="003B2BDB" w:rsidRDefault="003B2BDB">
            <w:pPr>
              <w:jc w:val="center"/>
              <w:rPr>
                <w:rFonts w:ascii="宋体" w:hAnsi="宋体" w:cs="宋体"/>
                <w:color w:val="000000"/>
                <w:sz w:val="24"/>
                <w:szCs w:val="24"/>
              </w:rPr>
            </w:pPr>
          </w:p>
        </w:tc>
        <w:tc>
          <w:tcPr>
            <w:tcW w:w="59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024DA2"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次</w:t>
            </w:r>
          </w:p>
        </w:tc>
        <w:tc>
          <w:tcPr>
            <w:tcW w:w="112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68F521" w14:textId="77777777" w:rsidR="003B2BDB" w:rsidRDefault="003B2BDB">
            <w:pPr>
              <w:jc w:val="center"/>
              <w:rPr>
                <w:rFonts w:ascii="仿宋" w:eastAsia="仿宋" w:hAnsi="仿宋" w:cs="仿宋"/>
                <w:b/>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90AC15"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 xml:space="preserve"> 550 </w:t>
            </w: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268B34"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中国医学科学院北京协和医院</w:t>
            </w:r>
          </w:p>
        </w:tc>
      </w:tr>
      <w:tr w:rsidR="003B2BDB" w14:paraId="46C84F85" w14:textId="77777777" w:rsidTr="00913689">
        <w:trPr>
          <w:trHeight w:val="1500"/>
          <w:jc w:val="center"/>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7A7DF321" w14:textId="77777777" w:rsidR="003B2BDB" w:rsidRDefault="003B2BDB">
            <w:pPr>
              <w:widowControl/>
              <w:jc w:val="left"/>
              <w:rPr>
                <w:rFonts w:ascii="仿宋" w:eastAsia="仿宋" w:hAnsi="仿宋" w:cs="仿宋"/>
                <w:b/>
                <w:color w:val="000000"/>
                <w:sz w:val="22"/>
                <w:szCs w:val="22"/>
              </w:rPr>
            </w:pPr>
          </w:p>
        </w:tc>
        <w:tc>
          <w:tcPr>
            <w:tcW w:w="749" w:type="dxa"/>
            <w:gridSpan w:val="2"/>
            <w:vMerge/>
            <w:tcBorders>
              <w:top w:val="single" w:sz="4" w:space="0" w:color="000000"/>
              <w:left w:val="single" w:sz="4" w:space="0" w:color="000000"/>
              <w:bottom w:val="single" w:sz="4" w:space="0" w:color="000000"/>
              <w:right w:val="single" w:sz="4" w:space="0" w:color="000000"/>
            </w:tcBorders>
            <w:vAlign w:val="center"/>
            <w:hideMark/>
          </w:tcPr>
          <w:p w14:paraId="4CE52F86" w14:textId="77777777" w:rsidR="003B2BDB" w:rsidRDefault="003B2BDB">
            <w:pPr>
              <w:widowControl/>
              <w:jc w:val="left"/>
              <w:rPr>
                <w:rFonts w:ascii="仿宋" w:eastAsia="仿宋" w:hAnsi="仿宋" w:cs="仿宋"/>
                <w:b/>
                <w:color w:val="000000"/>
                <w:sz w:val="22"/>
                <w:szCs w:val="22"/>
              </w:rPr>
            </w:pP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14:paraId="0F5D0F4F" w14:textId="77777777" w:rsidR="003B2BDB" w:rsidRDefault="003B2BDB">
            <w:pPr>
              <w:widowControl/>
              <w:jc w:val="left"/>
              <w:rPr>
                <w:rFonts w:ascii="仿宋" w:eastAsia="仿宋" w:hAnsi="仿宋" w:cs="仿宋"/>
                <w:b/>
                <w:color w:val="000000"/>
                <w:sz w:val="22"/>
                <w:szCs w:val="22"/>
              </w:rPr>
            </w:pPr>
          </w:p>
        </w:tc>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00210532" w14:textId="77777777" w:rsidR="003B2BDB" w:rsidRDefault="003B2BDB">
            <w:pPr>
              <w:widowControl/>
              <w:jc w:val="left"/>
              <w:rPr>
                <w:rFonts w:ascii="仿宋" w:eastAsia="仿宋" w:hAnsi="仿宋" w:cs="仿宋"/>
                <w:b/>
                <w:color w:val="000000"/>
                <w:sz w:val="22"/>
                <w:szCs w:val="22"/>
              </w:rPr>
            </w:pPr>
          </w:p>
        </w:tc>
        <w:tc>
          <w:tcPr>
            <w:tcW w:w="878" w:type="dxa"/>
            <w:vMerge/>
            <w:vAlign w:val="center"/>
            <w:hideMark/>
          </w:tcPr>
          <w:p w14:paraId="0DD10B2F" w14:textId="77777777" w:rsidR="003B2BDB" w:rsidRDefault="003B2BDB">
            <w:pPr>
              <w:widowControl/>
              <w:jc w:val="left"/>
              <w:rPr>
                <w:rFonts w:ascii="宋体" w:hAnsi="宋体" w:cs="宋体"/>
                <w:color w:val="000000"/>
                <w:sz w:val="24"/>
                <w:szCs w:val="24"/>
              </w:rPr>
            </w:pPr>
          </w:p>
        </w:tc>
        <w:tc>
          <w:tcPr>
            <w:tcW w:w="593" w:type="dxa"/>
            <w:vMerge/>
            <w:tcBorders>
              <w:top w:val="single" w:sz="4" w:space="0" w:color="000000"/>
              <w:left w:val="single" w:sz="4" w:space="0" w:color="000000"/>
              <w:bottom w:val="single" w:sz="4" w:space="0" w:color="000000"/>
              <w:right w:val="single" w:sz="4" w:space="0" w:color="000000"/>
            </w:tcBorders>
            <w:vAlign w:val="center"/>
            <w:hideMark/>
          </w:tcPr>
          <w:p w14:paraId="27A6D083" w14:textId="77777777" w:rsidR="003B2BDB" w:rsidRDefault="003B2BDB">
            <w:pPr>
              <w:widowControl/>
              <w:jc w:val="left"/>
              <w:rPr>
                <w:rFonts w:ascii="仿宋" w:eastAsia="仿宋" w:hAnsi="仿宋" w:cs="仿宋"/>
                <w:b/>
                <w:color w:val="000000"/>
                <w:sz w:val="22"/>
                <w:szCs w:val="22"/>
              </w:rPr>
            </w:pPr>
          </w:p>
        </w:tc>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4599E98B" w14:textId="77777777" w:rsidR="003B2BDB" w:rsidRDefault="003B2BDB">
            <w:pPr>
              <w:widowControl/>
              <w:jc w:val="left"/>
              <w:rPr>
                <w:rFonts w:ascii="仿宋" w:eastAsia="仿宋" w:hAnsi="仿宋" w:cs="仿宋"/>
                <w:b/>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A14F24"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 xml:space="preserve"> 550 </w:t>
            </w: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65E329"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首都医科大学宣武医院</w:t>
            </w:r>
          </w:p>
        </w:tc>
      </w:tr>
      <w:tr w:rsidR="003B2BDB" w14:paraId="5FF497AF" w14:textId="77777777" w:rsidTr="00913689">
        <w:trPr>
          <w:trHeight w:val="750"/>
          <w:jc w:val="center"/>
        </w:trPr>
        <w:tc>
          <w:tcPr>
            <w:tcW w:w="45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9F80EE"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5</w:t>
            </w:r>
          </w:p>
        </w:tc>
        <w:tc>
          <w:tcPr>
            <w:tcW w:w="74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21D53F"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 xml:space="preserve">TNAFA001 </w:t>
            </w:r>
          </w:p>
        </w:tc>
        <w:tc>
          <w:tcPr>
            <w:tcW w:w="112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FEA0DD"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超声高频外科集成系统辅助操作</w:t>
            </w:r>
          </w:p>
        </w:tc>
        <w:tc>
          <w:tcPr>
            <w:tcW w:w="339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6E02FF"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指外科手术在游离组织、器官及淋巴清扫步骤中，实现最小热损伤的软组织切割，同时能对直径不超过7mm的血管安全凝闭的操作。该辅助操作配备的集成系统主机能分别输出超声和高频两种能量。</w:t>
            </w:r>
          </w:p>
        </w:tc>
        <w:tc>
          <w:tcPr>
            <w:tcW w:w="878"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75B9C5"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超声高频外科集成系统超声刀头</w:t>
            </w:r>
          </w:p>
        </w:tc>
        <w:tc>
          <w:tcPr>
            <w:tcW w:w="59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6478D5"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次</w:t>
            </w:r>
          </w:p>
        </w:tc>
        <w:tc>
          <w:tcPr>
            <w:tcW w:w="112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7C5B0B" w14:textId="77777777" w:rsidR="003B2BDB" w:rsidRDefault="003B2BDB">
            <w:pPr>
              <w:jc w:val="center"/>
              <w:rPr>
                <w:rFonts w:ascii="仿宋" w:eastAsia="仿宋" w:hAnsi="仿宋" w:cs="仿宋"/>
                <w:b/>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BDA2C4"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 xml:space="preserve"> 800 </w:t>
            </w: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1A1717"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北京大学第一医院</w:t>
            </w:r>
          </w:p>
        </w:tc>
      </w:tr>
      <w:tr w:rsidR="003B2BDB" w14:paraId="474DD45F" w14:textId="77777777" w:rsidTr="00913689">
        <w:trPr>
          <w:trHeight w:val="750"/>
          <w:jc w:val="center"/>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456BF59B" w14:textId="77777777" w:rsidR="003B2BDB" w:rsidRDefault="003B2BDB">
            <w:pPr>
              <w:widowControl/>
              <w:jc w:val="left"/>
              <w:rPr>
                <w:rFonts w:ascii="仿宋" w:eastAsia="仿宋" w:hAnsi="仿宋" w:cs="仿宋"/>
                <w:b/>
                <w:color w:val="000000"/>
                <w:sz w:val="22"/>
                <w:szCs w:val="22"/>
              </w:rPr>
            </w:pPr>
          </w:p>
        </w:tc>
        <w:tc>
          <w:tcPr>
            <w:tcW w:w="749" w:type="dxa"/>
            <w:gridSpan w:val="2"/>
            <w:vMerge/>
            <w:tcBorders>
              <w:top w:val="single" w:sz="4" w:space="0" w:color="000000"/>
              <w:left w:val="single" w:sz="4" w:space="0" w:color="000000"/>
              <w:bottom w:val="single" w:sz="4" w:space="0" w:color="000000"/>
              <w:right w:val="single" w:sz="4" w:space="0" w:color="000000"/>
            </w:tcBorders>
            <w:vAlign w:val="center"/>
            <w:hideMark/>
          </w:tcPr>
          <w:p w14:paraId="59BA1DC3" w14:textId="77777777" w:rsidR="003B2BDB" w:rsidRDefault="003B2BDB">
            <w:pPr>
              <w:widowControl/>
              <w:jc w:val="left"/>
              <w:rPr>
                <w:rFonts w:ascii="仿宋" w:eastAsia="仿宋" w:hAnsi="仿宋" w:cs="仿宋"/>
                <w:b/>
                <w:color w:val="000000"/>
                <w:sz w:val="22"/>
                <w:szCs w:val="22"/>
              </w:rPr>
            </w:pP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14:paraId="5414B59A" w14:textId="77777777" w:rsidR="003B2BDB" w:rsidRDefault="003B2BDB">
            <w:pPr>
              <w:widowControl/>
              <w:jc w:val="left"/>
              <w:rPr>
                <w:rFonts w:ascii="仿宋" w:eastAsia="仿宋" w:hAnsi="仿宋" w:cs="仿宋"/>
                <w:b/>
                <w:color w:val="000000"/>
                <w:sz w:val="22"/>
                <w:szCs w:val="22"/>
              </w:rPr>
            </w:pPr>
          </w:p>
        </w:tc>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3987C723" w14:textId="77777777" w:rsidR="003B2BDB" w:rsidRDefault="003B2BDB">
            <w:pPr>
              <w:widowControl/>
              <w:jc w:val="left"/>
              <w:rPr>
                <w:rFonts w:ascii="仿宋" w:eastAsia="仿宋" w:hAnsi="仿宋" w:cs="仿宋"/>
                <w:b/>
                <w:color w:val="000000"/>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28EF5CAA" w14:textId="77777777" w:rsidR="003B2BDB" w:rsidRDefault="003B2BDB">
            <w:pPr>
              <w:widowControl/>
              <w:jc w:val="left"/>
              <w:rPr>
                <w:rFonts w:ascii="仿宋" w:eastAsia="仿宋" w:hAnsi="仿宋" w:cs="仿宋"/>
                <w:b/>
                <w:color w:val="000000"/>
                <w:sz w:val="22"/>
                <w:szCs w:val="22"/>
              </w:rPr>
            </w:pPr>
          </w:p>
        </w:tc>
        <w:tc>
          <w:tcPr>
            <w:tcW w:w="593" w:type="dxa"/>
            <w:vMerge/>
            <w:tcBorders>
              <w:top w:val="single" w:sz="4" w:space="0" w:color="000000"/>
              <w:left w:val="single" w:sz="4" w:space="0" w:color="000000"/>
              <w:bottom w:val="single" w:sz="4" w:space="0" w:color="000000"/>
              <w:right w:val="single" w:sz="4" w:space="0" w:color="000000"/>
            </w:tcBorders>
            <w:vAlign w:val="center"/>
            <w:hideMark/>
          </w:tcPr>
          <w:p w14:paraId="01C29C29" w14:textId="77777777" w:rsidR="003B2BDB" w:rsidRDefault="003B2BDB">
            <w:pPr>
              <w:widowControl/>
              <w:jc w:val="left"/>
              <w:rPr>
                <w:rFonts w:ascii="仿宋" w:eastAsia="仿宋" w:hAnsi="仿宋" w:cs="仿宋"/>
                <w:b/>
                <w:color w:val="000000"/>
                <w:sz w:val="22"/>
                <w:szCs w:val="22"/>
              </w:rPr>
            </w:pPr>
          </w:p>
        </w:tc>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21ED7F6D" w14:textId="77777777" w:rsidR="003B2BDB" w:rsidRDefault="003B2BDB">
            <w:pPr>
              <w:widowControl/>
              <w:jc w:val="left"/>
              <w:rPr>
                <w:rFonts w:ascii="仿宋" w:eastAsia="仿宋" w:hAnsi="仿宋" w:cs="仿宋"/>
                <w:b/>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F3E4AB9"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 xml:space="preserve"> 800 </w:t>
            </w: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C568B0"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中日友好医院</w:t>
            </w:r>
          </w:p>
        </w:tc>
      </w:tr>
      <w:tr w:rsidR="003B2BDB" w14:paraId="2AED38BD" w14:textId="77777777" w:rsidTr="00913689">
        <w:trPr>
          <w:trHeight w:val="750"/>
          <w:jc w:val="center"/>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0FD90F57" w14:textId="77777777" w:rsidR="003B2BDB" w:rsidRDefault="003B2BDB">
            <w:pPr>
              <w:widowControl/>
              <w:jc w:val="left"/>
              <w:rPr>
                <w:rFonts w:ascii="仿宋" w:eastAsia="仿宋" w:hAnsi="仿宋" w:cs="仿宋"/>
                <w:b/>
                <w:color w:val="000000"/>
                <w:sz w:val="22"/>
                <w:szCs w:val="22"/>
              </w:rPr>
            </w:pPr>
          </w:p>
        </w:tc>
        <w:tc>
          <w:tcPr>
            <w:tcW w:w="749" w:type="dxa"/>
            <w:gridSpan w:val="2"/>
            <w:vMerge/>
            <w:tcBorders>
              <w:top w:val="single" w:sz="4" w:space="0" w:color="000000"/>
              <w:left w:val="single" w:sz="4" w:space="0" w:color="000000"/>
              <w:bottom w:val="single" w:sz="4" w:space="0" w:color="000000"/>
              <w:right w:val="single" w:sz="4" w:space="0" w:color="000000"/>
            </w:tcBorders>
            <w:vAlign w:val="center"/>
            <w:hideMark/>
          </w:tcPr>
          <w:p w14:paraId="152E3362" w14:textId="77777777" w:rsidR="003B2BDB" w:rsidRDefault="003B2BDB">
            <w:pPr>
              <w:widowControl/>
              <w:jc w:val="left"/>
              <w:rPr>
                <w:rFonts w:ascii="仿宋" w:eastAsia="仿宋" w:hAnsi="仿宋" w:cs="仿宋"/>
                <w:b/>
                <w:color w:val="000000"/>
                <w:sz w:val="22"/>
                <w:szCs w:val="22"/>
              </w:rPr>
            </w:pP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14:paraId="2875E19D" w14:textId="77777777" w:rsidR="003B2BDB" w:rsidRDefault="003B2BDB">
            <w:pPr>
              <w:widowControl/>
              <w:jc w:val="left"/>
              <w:rPr>
                <w:rFonts w:ascii="仿宋" w:eastAsia="仿宋" w:hAnsi="仿宋" w:cs="仿宋"/>
                <w:b/>
                <w:color w:val="000000"/>
                <w:sz w:val="22"/>
                <w:szCs w:val="22"/>
              </w:rPr>
            </w:pPr>
          </w:p>
        </w:tc>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4D5D018D" w14:textId="77777777" w:rsidR="003B2BDB" w:rsidRDefault="003B2BDB">
            <w:pPr>
              <w:widowControl/>
              <w:jc w:val="left"/>
              <w:rPr>
                <w:rFonts w:ascii="仿宋" w:eastAsia="仿宋" w:hAnsi="仿宋" w:cs="仿宋"/>
                <w:b/>
                <w:color w:val="000000"/>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04115CF0" w14:textId="77777777" w:rsidR="003B2BDB" w:rsidRDefault="003B2BDB">
            <w:pPr>
              <w:widowControl/>
              <w:jc w:val="left"/>
              <w:rPr>
                <w:rFonts w:ascii="仿宋" w:eastAsia="仿宋" w:hAnsi="仿宋" w:cs="仿宋"/>
                <w:b/>
                <w:color w:val="000000"/>
                <w:sz w:val="22"/>
                <w:szCs w:val="22"/>
              </w:rPr>
            </w:pPr>
          </w:p>
        </w:tc>
        <w:tc>
          <w:tcPr>
            <w:tcW w:w="593" w:type="dxa"/>
            <w:vMerge/>
            <w:tcBorders>
              <w:top w:val="single" w:sz="4" w:space="0" w:color="000000"/>
              <w:left w:val="single" w:sz="4" w:space="0" w:color="000000"/>
              <w:bottom w:val="single" w:sz="4" w:space="0" w:color="000000"/>
              <w:right w:val="single" w:sz="4" w:space="0" w:color="000000"/>
            </w:tcBorders>
            <w:vAlign w:val="center"/>
            <w:hideMark/>
          </w:tcPr>
          <w:p w14:paraId="29270714" w14:textId="77777777" w:rsidR="003B2BDB" w:rsidRDefault="003B2BDB">
            <w:pPr>
              <w:widowControl/>
              <w:jc w:val="left"/>
              <w:rPr>
                <w:rFonts w:ascii="仿宋" w:eastAsia="仿宋" w:hAnsi="仿宋" w:cs="仿宋"/>
                <w:b/>
                <w:color w:val="000000"/>
                <w:sz w:val="22"/>
                <w:szCs w:val="22"/>
              </w:rPr>
            </w:pPr>
          </w:p>
        </w:tc>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59476454" w14:textId="77777777" w:rsidR="003B2BDB" w:rsidRDefault="003B2BDB">
            <w:pPr>
              <w:widowControl/>
              <w:jc w:val="left"/>
              <w:rPr>
                <w:rFonts w:ascii="仿宋" w:eastAsia="仿宋" w:hAnsi="仿宋" w:cs="仿宋"/>
                <w:b/>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E0D118"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 xml:space="preserve"> 800 </w:t>
            </w: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C252BF"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北京肿瘤医院</w:t>
            </w:r>
          </w:p>
        </w:tc>
      </w:tr>
      <w:tr w:rsidR="003B2BDB" w14:paraId="08F0A129" w14:textId="77777777" w:rsidTr="00913689">
        <w:trPr>
          <w:trHeight w:val="750"/>
          <w:jc w:val="center"/>
        </w:trPr>
        <w:tc>
          <w:tcPr>
            <w:tcW w:w="455" w:type="dxa"/>
            <w:vMerge/>
            <w:tcBorders>
              <w:top w:val="single" w:sz="4" w:space="0" w:color="000000"/>
              <w:left w:val="single" w:sz="4" w:space="0" w:color="000000"/>
              <w:bottom w:val="single" w:sz="4" w:space="0" w:color="000000"/>
              <w:right w:val="single" w:sz="4" w:space="0" w:color="000000"/>
            </w:tcBorders>
            <w:vAlign w:val="center"/>
            <w:hideMark/>
          </w:tcPr>
          <w:p w14:paraId="69A66BD8" w14:textId="77777777" w:rsidR="003B2BDB" w:rsidRDefault="003B2BDB">
            <w:pPr>
              <w:widowControl/>
              <w:jc w:val="left"/>
              <w:rPr>
                <w:rFonts w:ascii="仿宋" w:eastAsia="仿宋" w:hAnsi="仿宋" w:cs="仿宋"/>
                <w:b/>
                <w:color w:val="000000"/>
                <w:sz w:val="22"/>
                <w:szCs w:val="22"/>
              </w:rPr>
            </w:pPr>
          </w:p>
        </w:tc>
        <w:tc>
          <w:tcPr>
            <w:tcW w:w="749" w:type="dxa"/>
            <w:gridSpan w:val="2"/>
            <w:vMerge/>
            <w:tcBorders>
              <w:top w:val="single" w:sz="4" w:space="0" w:color="000000"/>
              <w:left w:val="single" w:sz="4" w:space="0" w:color="000000"/>
              <w:bottom w:val="single" w:sz="4" w:space="0" w:color="000000"/>
              <w:right w:val="single" w:sz="4" w:space="0" w:color="000000"/>
            </w:tcBorders>
            <w:vAlign w:val="center"/>
            <w:hideMark/>
          </w:tcPr>
          <w:p w14:paraId="30843EB9" w14:textId="77777777" w:rsidR="003B2BDB" w:rsidRDefault="003B2BDB">
            <w:pPr>
              <w:widowControl/>
              <w:jc w:val="left"/>
              <w:rPr>
                <w:rFonts w:ascii="仿宋" w:eastAsia="仿宋" w:hAnsi="仿宋" w:cs="仿宋"/>
                <w:b/>
                <w:color w:val="000000"/>
                <w:sz w:val="22"/>
                <w:szCs w:val="22"/>
              </w:rPr>
            </w:pPr>
          </w:p>
        </w:tc>
        <w:tc>
          <w:tcPr>
            <w:tcW w:w="1121" w:type="dxa"/>
            <w:vMerge/>
            <w:tcBorders>
              <w:top w:val="single" w:sz="4" w:space="0" w:color="000000"/>
              <w:left w:val="single" w:sz="4" w:space="0" w:color="000000"/>
              <w:bottom w:val="single" w:sz="4" w:space="0" w:color="000000"/>
              <w:right w:val="single" w:sz="4" w:space="0" w:color="000000"/>
            </w:tcBorders>
            <w:vAlign w:val="center"/>
            <w:hideMark/>
          </w:tcPr>
          <w:p w14:paraId="5C66FF58" w14:textId="77777777" w:rsidR="003B2BDB" w:rsidRDefault="003B2BDB">
            <w:pPr>
              <w:widowControl/>
              <w:jc w:val="left"/>
              <w:rPr>
                <w:rFonts w:ascii="仿宋" w:eastAsia="仿宋" w:hAnsi="仿宋" w:cs="仿宋"/>
                <w:b/>
                <w:color w:val="000000"/>
                <w:sz w:val="22"/>
                <w:szCs w:val="22"/>
              </w:rPr>
            </w:pPr>
          </w:p>
        </w:tc>
        <w:tc>
          <w:tcPr>
            <w:tcW w:w="3399" w:type="dxa"/>
            <w:vMerge/>
            <w:tcBorders>
              <w:top w:val="single" w:sz="4" w:space="0" w:color="000000"/>
              <w:left w:val="single" w:sz="4" w:space="0" w:color="000000"/>
              <w:bottom w:val="single" w:sz="4" w:space="0" w:color="000000"/>
              <w:right w:val="single" w:sz="4" w:space="0" w:color="000000"/>
            </w:tcBorders>
            <w:vAlign w:val="center"/>
            <w:hideMark/>
          </w:tcPr>
          <w:p w14:paraId="765EBF63" w14:textId="77777777" w:rsidR="003B2BDB" w:rsidRDefault="003B2BDB">
            <w:pPr>
              <w:widowControl/>
              <w:jc w:val="left"/>
              <w:rPr>
                <w:rFonts w:ascii="仿宋" w:eastAsia="仿宋" w:hAnsi="仿宋" w:cs="仿宋"/>
                <w:b/>
                <w:color w:val="000000"/>
                <w:sz w:val="22"/>
                <w:szCs w:val="22"/>
              </w:rPr>
            </w:pPr>
          </w:p>
        </w:tc>
        <w:tc>
          <w:tcPr>
            <w:tcW w:w="878" w:type="dxa"/>
            <w:vMerge/>
            <w:tcBorders>
              <w:top w:val="single" w:sz="4" w:space="0" w:color="000000"/>
              <w:left w:val="single" w:sz="4" w:space="0" w:color="000000"/>
              <w:bottom w:val="single" w:sz="4" w:space="0" w:color="000000"/>
              <w:right w:val="single" w:sz="4" w:space="0" w:color="000000"/>
            </w:tcBorders>
            <w:vAlign w:val="center"/>
            <w:hideMark/>
          </w:tcPr>
          <w:p w14:paraId="2BE132CD" w14:textId="77777777" w:rsidR="003B2BDB" w:rsidRDefault="003B2BDB">
            <w:pPr>
              <w:widowControl/>
              <w:jc w:val="left"/>
              <w:rPr>
                <w:rFonts w:ascii="仿宋" w:eastAsia="仿宋" w:hAnsi="仿宋" w:cs="仿宋"/>
                <w:b/>
                <w:color w:val="000000"/>
                <w:sz w:val="22"/>
                <w:szCs w:val="22"/>
              </w:rPr>
            </w:pPr>
          </w:p>
        </w:tc>
        <w:tc>
          <w:tcPr>
            <w:tcW w:w="593" w:type="dxa"/>
            <w:vMerge/>
            <w:tcBorders>
              <w:top w:val="single" w:sz="4" w:space="0" w:color="000000"/>
              <w:left w:val="single" w:sz="4" w:space="0" w:color="000000"/>
              <w:bottom w:val="single" w:sz="4" w:space="0" w:color="000000"/>
              <w:right w:val="single" w:sz="4" w:space="0" w:color="000000"/>
            </w:tcBorders>
            <w:vAlign w:val="center"/>
            <w:hideMark/>
          </w:tcPr>
          <w:p w14:paraId="7966A36F" w14:textId="77777777" w:rsidR="003B2BDB" w:rsidRDefault="003B2BDB">
            <w:pPr>
              <w:widowControl/>
              <w:jc w:val="left"/>
              <w:rPr>
                <w:rFonts w:ascii="仿宋" w:eastAsia="仿宋" w:hAnsi="仿宋" w:cs="仿宋"/>
                <w:b/>
                <w:color w:val="000000"/>
                <w:sz w:val="22"/>
                <w:szCs w:val="22"/>
              </w:rPr>
            </w:pPr>
          </w:p>
        </w:tc>
        <w:tc>
          <w:tcPr>
            <w:tcW w:w="1129" w:type="dxa"/>
            <w:vMerge/>
            <w:tcBorders>
              <w:top w:val="single" w:sz="4" w:space="0" w:color="000000"/>
              <w:left w:val="single" w:sz="4" w:space="0" w:color="000000"/>
              <w:bottom w:val="single" w:sz="4" w:space="0" w:color="000000"/>
              <w:right w:val="single" w:sz="4" w:space="0" w:color="000000"/>
            </w:tcBorders>
            <w:vAlign w:val="center"/>
            <w:hideMark/>
          </w:tcPr>
          <w:p w14:paraId="7198C5AB" w14:textId="77777777" w:rsidR="003B2BDB" w:rsidRDefault="003B2BDB">
            <w:pPr>
              <w:widowControl/>
              <w:jc w:val="left"/>
              <w:rPr>
                <w:rFonts w:ascii="仿宋" w:eastAsia="仿宋" w:hAnsi="仿宋" w:cs="仿宋"/>
                <w:b/>
                <w:color w:val="000000"/>
                <w:sz w:val="22"/>
                <w:szCs w:val="22"/>
              </w:rPr>
            </w:pPr>
          </w:p>
        </w:tc>
        <w:tc>
          <w:tcPr>
            <w:tcW w:w="85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E42424" w14:textId="77777777" w:rsidR="003B2BDB" w:rsidRDefault="003B2BDB">
            <w:pPr>
              <w:widowControl/>
              <w:jc w:val="center"/>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 xml:space="preserve"> 800 </w:t>
            </w:r>
          </w:p>
        </w:tc>
        <w:tc>
          <w:tcPr>
            <w:tcW w:w="162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4B25AA" w14:textId="77777777" w:rsidR="003B2BDB" w:rsidRDefault="003B2BDB">
            <w:pPr>
              <w:widowControl/>
              <w:jc w:val="left"/>
              <w:textAlignment w:val="center"/>
              <w:rPr>
                <w:rFonts w:ascii="仿宋" w:eastAsia="仿宋" w:hAnsi="仿宋" w:cs="仿宋"/>
                <w:b/>
                <w:color w:val="000000"/>
                <w:sz w:val="22"/>
                <w:szCs w:val="22"/>
              </w:rPr>
            </w:pPr>
            <w:r>
              <w:rPr>
                <w:rFonts w:ascii="仿宋" w:eastAsia="仿宋" w:hAnsi="仿宋" w:cs="仿宋" w:hint="eastAsia"/>
                <w:b/>
                <w:color w:val="000000"/>
                <w:kern w:val="0"/>
                <w:sz w:val="22"/>
                <w:szCs w:val="22"/>
              </w:rPr>
              <w:t>首都医科大学附属北京友谊医院</w:t>
            </w:r>
          </w:p>
        </w:tc>
      </w:tr>
    </w:tbl>
    <w:p w14:paraId="1263506E" w14:textId="77777777" w:rsidR="003B2BDB" w:rsidRDefault="003B2BDB" w:rsidP="003B2BDB">
      <w:pPr>
        <w:spacing w:line="580" w:lineRule="exact"/>
        <w:jc w:val="left"/>
        <w:rPr>
          <w:rFonts w:ascii="仿宋_GB2312" w:eastAsia="仿宋_GB2312" w:hAnsi="仿宋_GB2312" w:cs="仿宋_GB2312"/>
          <w:sz w:val="32"/>
          <w:szCs w:val="32"/>
        </w:rPr>
      </w:pPr>
    </w:p>
    <w:p w14:paraId="071137B9" w14:textId="77777777" w:rsidR="003B2BDB" w:rsidRDefault="003B2BDB" w:rsidP="003B2BDB">
      <w:pPr>
        <w:spacing w:line="580" w:lineRule="exact"/>
        <w:jc w:val="left"/>
        <w:rPr>
          <w:rFonts w:ascii="仿宋_GB2312" w:eastAsia="仿宋_GB2312" w:hAnsi="仿宋_GB2312" w:cs="仿宋_GB2312"/>
          <w:sz w:val="32"/>
          <w:szCs w:val="32"/>
        </w:rPr>
      </w:pPr>
    </w:p>
    <w:p w14:paraId="3DFC890F" w14:textId="77777777" w:rsidR="00811718" w:rsidRPr="003B2BDB" w:rsidRDefault="00811718"/>
    <w:sectPr w:rsidR="00811718" w:rsidRPr="003B2BDB" w:rsidSect="00791A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BFE43" w14:textId="77777777" w:rsidR="008A6A26" w:rsidRDefault="008A6A26" w:rsidP="003B2BDB">
      <w:r>
        <w:separator/>
      </w:r>
    </w:p>
  </w:endnote>
  <w:endnote w:type="continuationSeparator" w:id="0">
    <w:p w14:paraId="469193DB" w14:textId="77777777" w:rsidR="008A6A26" w:rsidRDefault="008A6A26" w:rsidP="003B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AA683" w14:textId="77777777" w:rsidR="008A6A26" w:rsidRDefault="008A6A26" w:rsidP="003B2BDB">
      <w:r>
        <w:separator/>
      </w:r>
    </w:p>
  </w:footnote>
  <w:footnote w:type="continuationSeparator" w:id="0">
    <w:p w14:paraId="2BACD98C" w14:textId="77777777" w:rsidR="008A6A26" w:rsidRDefault="008A6A26" w:rsidP="003B2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07"/>
    <w:rsid w:val="00220107"/>
    <w:rsid w:val="003B2BDB"/>
    <w:rsid w:val="00571BD0"/>
    <w:rsid w:val="00791AA8"/>
    <w:rsid w:val="00811718"/>
    <w:rsid w:val="008A6A26"/>
    <w:rsid w:val="00913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F7981"/>
  <w15:chartTrackingRefBased/>
  <w15:docId w15:val="{159CD7AA-C439-4891-818A-8AA1B83D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B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B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B2BDB"/>
    <w:rPr>
      <w:sz w:val="18"/>
      <w:szCs w:val="18"/>
    </w:rPr>
  </w:style>
  <w:style w:type="paragraph" w:styleId="a5">
    <w:name w:val="footer"/>
    <w:basedOn w:val="a"/>
    <w:link w:val="a6"/>
    <w:uiPriority w:val="99"/>
    <w:unhideWhenUsed/>
    <w:rsid w:val="003B2B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B2B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6</cp:revision>
  <dcterms:created xsi:type="dcterms:W3CDTF">2020-07-03T03:16:00Z</dcterms:created>
  <dcterms:modified xsi:type="dcterms:W3CDTF">2020-07-03T03:46:00Z</dcterms:modified>
</cp:coreProperties>
</file>