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4A1E" w14:textId="77777777" w:rsidR="00082FDC" w:rsidRDefault="00082FDC" w:rsidP="00082FDC">
      <w:pPr>
        <w:adjustRightInd w:val="0"/>
        <w:snapToGrid w:val="0"/>
        <w:spacing w:line="570" w:lineRule="exact"/>
        <w:rPr>
          <w:rFonts w:ascii="黑体" w:eastAsia="黑体" w:hAnsi="黑体" w:cs="黑体" w:hint="eastAsia"/>
          <w:bCs/>
          <w:sz w:val="32"/>
          <w:szCs w:val="32"/>
        </w:rPr>
      </w:pPr>
      <w:r>
        <w:rPr>
          <w:rFonts w:ascii="黑体" w:eastAsia="黑体" w:hAnsi="黑体" w:cs="黑体" w:hint="eastAsia"/>
          <w:bCs/>
          <w:sz w:val="32"/>
          <w:szCs w:val="32"/>
        </w:rPr>
        <w:t>附件2</w:t>
      </w:r>
    </w:p>
    <w:p w14:paraId="61811A5E" w14:textId="77777777" w:rsidR="00082FDC" w:rsidRDefault="00082FDC" w:rsidP="00082FDC">
      <w:pPr>
        <w:jc w:val="center"/>
        <w:rPr>
          <w:rFonts w:ascii="方正小标宋简体" w:eastAsia="方正小标宋简体" w:hAnsi="方正小标宋简体" w:cs="方正小标宋简体" w:hint="eastAsia"/>
          <w:color w:val="000000"/>
          <w:kern w:val="0"/>
          <w:sz w:val="10"/>
          <w:szCs w:val="10"/>
        </w:rPr>
      </w:pPr>
      <w:r>
        <w:rPr>
          <w:rFonts w:ascii="方正小标宋简体" w:eastAsia="方正小标宋简体" w:hAnsi="方正小标宋简体" w:cs="方正小标宋简体" w:hint="eastAsia"/>
          <w:color w:val="000000"/>
          <w:kern w:val="0"/>
          <w:sz w:val="44"/>
          <w:szCs w:val="44"/>
        </w:rPr>
        <w:t>北京市全国计划生育优质服务先进单位自评表（2020年版）</w:t>
      </w:r>
    </w:p>
    <w:p w14:paraId="30DD6E34" w14:textId="77777777" w:rsidR="00082FDC" w:rsidRDefault="00082FDC" w:rsidP="00082FDC">
      <w:pPr>
        <w:jc w:val="left"/>
        <w:rPr>
          <w:rFonts w:ascii="仿宋_GB2312" w:eastAsia="仿宋_GB2312" w:hAnsi="仿宋_GB2312" w:cs="仿宋_GB2312" w:hint="eastAsia"/>
          <w:color w:val="000000"/>
          <w:kern w:val="0"/>
          <w:sz w:val="32"/>
          <w:szCs w:val="32"/>
        </w:rPr>
      </w:pPr>
      <w:r>
        <w:rPr>
          <w:rFonts w:ascii="宋体" w:hAnsi="宋体" w:cs="宋体" w:hint="eastAsia"/>
          <w:color w:val="000000"/>
          <w:kern w:val="0"/>
          <w:sz w:val="32"/>
          <w:szCs w:val="32"/>
        </w:rPr>
        <w:t xml:space="preserve">  </w:t>
      </w:r>
      <w:r>
        <w:rPr>
          <w:rFonts w:ascii="楷体" w:eastAsia="楷体" w:hAnsi="楷体" w:cs="楷体" w:hint="eastAsia"/>
          <w:color w:val="000000"/>
          <w:kern w:val="0"/>
          <w:sz w:val="36"/>
          <w:szCs w:val="36"/>
        </w:rPr>
        <w:t xml:space="preserve">  </w:t>
      </w:r>
      <w:r>
        <w:rPr>
          <w:rFonts w:ascii="仿宋_GB2312" w:eastAsia="仿宋_GB2312" w:hAnsi="仿宋_GB2312" w:cs="仿宋_GB2312" w:hint="eastAsia"/>
          <w:color w:val="000000"/>
          <w:kern w:val="0"/>
          <w:sz w:val="32"/>
          <w:szCs w:val="32"/>
        </w:rPr>
        <w:t xml:space="preserve">自评单位： </w:t>
      </w:r>
      <w:r>
        <w:rPr>
          <w:rFonts w:ascii="仿宋_GB2312" w:eastAsia="仿宋_GB2312" w:hAnsi="仿宋_GB2312" w:cs="仿宋_GB2312" w:hint="eastAsia"/>
          <w:color w:val="000000"/>
          <w:kern w:val="0"/>
          <w:sz w:val="32"/>
          <w:szCs w:val="32"/>
          <w:u w:val="single"/>
        </w:rPr>
        <w:t xml:space="preserve">      </w:t>
      </w:r>
      <w:r>
        <w:rPr>
          <w:rFonts w:ascii="仿宋_GB2312" w:eastAsia="仿宋_GB2312" w:hAnsi="仿宋_GB2312" w:cs="仿宋_GB2312" w:hint="eastAsia"/>
          <w:color w:val="000000"/>
          <w:kern w:val="0"/>
          <w:sz w:val="32"/>
          <w:szCs w:val="32"/>
        </w:rPr>
        <w:t>区人民政府（盖章）</w:t>
      </w:r>
    </w:p>
    <w:tbl>
      <w:tblPr>
        <w:tblStyle w:val="a7"/>
        <w:tblW w:w="0" w:type="auto"/>
        <w:jc w:val="center"/>
        <w:tblInd w:w="0" w:type="dxa"/>
        <w:tblLayout w:type="fixed"/>
        <w:tblLook w:val="0000" w:firstRow="0" w:lastRow="0" w:firstColumn="0" w:lastColumn="0" w:noHBand="0" w:noVBand="0"/>
      </w:tblPr>
      <w:tblGrid>
        <w:gridCol w:w="1492"/>
        <w:gridCol w:w="7091"/>
        <w:gridCol w:w="2614"/>
        <w:gridCol w:w="2977"/>
      </w:tblGrid>
      <w:tr w:rsidR="00082FDC" w14:paraId="1E581221" w14:textId="77777777" w:rsidTr="00811699">
        <w:trPr>
          <w:trHeight w:val="619"/>
          <w:jc w:val="center"/>
        </w:trPr>
        <w:tc>
          <w:tcPr>
            <w:tcW w:w="1492" w:type="dxa"/>
            <w:vAlign w:val="center"/>
          </w:tcPr>
          <w:p w14:paraId="39D98381" w14:textId="77777777" w:rsidR="00082FDC" w:rsidRDefault="00082FDC" w:rsidP="00811699">
            <w:pPr>
              <w:jc w:val="center"/>
              <w:rPr>
                <w:rFonts w:ascii="宋体" w:hAnsi="宋体" w:cs="宋体" w:hint="eastAsia"/>
                <w:b/>
                <w:bCs/>
                <w:color w:val="000000"/>
                <w:sz w:val="28"/>
                <w:szCs w:val="28"/>
              </w:rPr>
            </w:pPr>
            <w:r>
              <w:rPr>
                <w:rFonts w:ascii="宋体" w:hAnsi="宋体" w:cs="宋体" w:hint="eastAsia"/>
                <w:b/>
                <w:bCs/>
                <w:color w:val="000000"/>
                <w:sz w:val="28"/>
                <w:szCs w:val="28"/>
              </w:rPr>
              <w:t>评估指标</w:t>
            </w:r>
          </w:p>
        </w:tc>
        <w:tc>
          <w:tcPr>
            <w:tcW w:w="7091" w:type="dxa"/>
            <w:vAlign w:val="center"/>
          </w:tcPr>
          <w:p w14:paraId="6896B1B2" w14:textId="77777777" w:rsidR="00082FDC" w:rsidRDefault="00082FDC" w:rsidP="00811699">
            <w:pPr>
              <w:jc w:val="center"/>
              <w:rPr>
                <w:rFonts w:ascii="宋体" w:hAnsi="宋体" w:cs="宋体" w:hint="eastAsia"/>
                <w:b/>
                <w:bCs/>
                <w:color w:val="000000"/>
                <w:sz w:val="28"/>
                <w:szCs w:val="28"/>
              </w:rPr>
            </w:pPr>
            <w:r>
              <w:rPr>
                <w:rFonts w:ascii="宋体" w:hAnsi="宋体" w:cs="宋体" w:hint="eastAsia"/>
                <w:b/>
                <w:bCs/>
                <w:color w:val="000000"/>
                <w:sz w:val="28"/>
                <w:szCs w:val="28"/>
              </w:rPr>
              <w:t>评估内容</w:t>
            </w:r>
          </w:p>
        </w:tc>
        <w:tc>
          <w:tcPr>
            <w:tcW w:w="2614" w:type="dxa"/>
            <w:vAlign w:val="center"/>
          </w:tcPr>
          <w:p w14:paraId="782BDE97" w14:textId="77777777" w:rsidR="00082FDC" w:rsidRDefault="00082FDC" w:rsidP="00811699">
            <w:pPr>
              <w:jc w:val="center"/>
              <w:rPr>
                <w:rFonts w:ascii="宋体" w:hAnsi="宋体" w:cs="宋体" w:hint="eastAsia"/>
                <w:b/>
                <w:bCs/>
                <w:color w:val="000000"/>
                <w:sz w:val="28"/>
                <w:szCs w:val="28"/>
              </w:rPr>
            </w:pPr>
            <w:r>
              <w:rPr>
                <w:rFonts w:ascii="宋体" w:hAnsi="宋体" w:cs="宋体" w:hint="eastAsia"/>
                <w:b/>
                <w:bCs/>
                <w:color w:val="000000"/>
                <w:sz w:val="28"/>
                <w:szCs w:val="28"/>
              </w:rPr>
              <w:t>自评得分</w:t>
            </w:r>
          </w:p>
        </w:tc>
        <w:tc>
          <w:tcPr>
            <w:tcW w:w="2977" w:type="dxa"/>
            <w:vAlign w:val="center"/>
          </w:tcPr>
          <w:p w14:paraId="46073A65" w14:textId="77777777" w:rsidR="00082FDC" w:rsidRDefault="00082FDC" w:rsidP="00811699">
            <w:pPr>
              <w:jc w:val="center"/>
              <w:rPr>
                <w:rFonts w:ascii="宋体" w:hAnsi="宋体" w:cs="宋体" w:hint="eastAsia"/>
                <w:b/>
                <w:bCs/>
                <w:color w:val="000000"/>
                <w:sz w:val="28"/>
                <w:szCs w:val="28"/>
              </w:rPr>
            </w:pPr>
            <w:r>
              <w:rPr>
                <w:rFonts w:ascii="宋体" w:hAnsi="宋体" w:cs="宋体" w:hint="eastAsia"/>
                <w:b/>
                <w:bCs/>
                <w:color w:val="000000"/>
                <w:sz w:val="28"/>
                <w:szCs w:val="28"/>
              </w:rPr>
              <w:t>扣分原因</w:t>
            </w:r>
          </w:p>
        </w:tc>
      </w:tr>
      <w:tr w:rsidR="00082FDC" w14:paraId="1B29D46C" w14:textId="77777777" w:rsidTr="00811699">
        <w:trPr>
          <w:jc w:val="center"/>
        </w:trPr>
        <w:tc>
          <w:tcPr>
            <w:tcW w:w="1492" w:type="dxa"/>
            <w:vMerge w:val="restart"/>
            <w:vAlign w:val="center"/>
          </w:tcPr>
          <w:p w14:paraId="33BC42DF" w14:textId="77777777" w:rsidR="00082FDC" w:rsidRDefault="00082FDC" w:rsidP="00811699">
            <w:pPr>
              <w:spacing w:line="3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一、党政领导（15分）</w:t>
            </w:r>
          </w:p>
        </w:tc>
        <w:tc>
          <w:tcPr>
            <w:tcW w:w="7091" w:type="dxa"/>
          </w:tcPr>
          <w:p w14:paraId="585E3868"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1.坚持计划生育领导小组或兼职委员制度，党委政府专题研究人口与家庭发展工作，各部门职责明确。（5分）</w:t>
            </w:r>
          </w:p>
        </w:tc>
        <w:tc>
          <w:tcPr>
            <w:tcW w:w="2614" w:type="dxa"/>
          </w:tcPr>
          <w:p w14:paraId="31A6CDFE"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77" w:type="dxa"/>
          </w:tcPr>
          <w:p w14:paraId="67394570" w14:textId="77777777" w:rsidR="00082FDC" w:rsidRDefault="00082FDC" w:rsidP="00811699">
            <w:pPr>
              <w:spacing w:line="340" w:lineRule="exact"/>
              <w:jc w:val="left"/>
              <w:rPr>
                <w:rFonts w:ascii="仿宋_GB2312" w:eastAsia="仿宋_GB2312" w:hAnsi="仿宋_GB2312" w:cs="仿宋_GB2312" w:hint="eastAsia"/>
                <w:color w:val="000000"/>
                <w:sz w:val="24"/>
              </w:rPr>
            </w:pPr>
          </w:p>
        </w:tc>
      </w:tr>
      <w:tr w:rsidR="00082FDC" w14:paraId="16ED08EA" w14:textId="77777777" w:rsidTr="00811699">
        <w:trPr>
          <w:jc w:val="center"/>
        </w:trPr>
        <w:tc>
          <w:tcPr>
            <w:tcW w:w="1492" w:type="dxa"/>
            <w:vMerge/>
          </w:tcPr>
          <w:p w14:paraId="2EC6FAF1"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7091" w:type="dxa"/>
          </w:tcPr>
          <w:p w14:paraId="2295C2E0"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2.加强工作经费保障，各项奖励与扶助政策、人口与家庭动态监测等专项经费本级投入足额到位，经费支出和财务管理规范。（5分）</w:t>
            </w:r>
          </w:p>
        </w:tc>
        <w:tc>
          <w:tcPr>
            <w:tcW w:w="2614" w:type="dxa"/>
          </w:tcPr>
          <w:p w14:paraId="6661BE40"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77" w:type="dxa"/>
          </w:tcPr>
          <w:p w14:paraId="4ECC83E7" w14:textId="77777777" w:rsidR="00082FDC" w:rsidRDefault="00082FDC" w:rsidP="00811699">
            <w:pPr>
              <w:spacing w:line="340" w:lineRule="exact"/>
              <w:jc w:val="left"/>
              <w:rPr>
                <w:rFonts w:ascii="仿宋_GB2312" w:eastAsia="仿宋_GB2312" w:hAnsi="仿宋_GB2312" w:cs="仿宋_GB2312" w:hint="eastAsia"/>
                <w:color w:val="000000"/>
                <w:sz w:val="24"/>
              </w:rPr>
            </w:pPr>
          </w:p>
        </w:tc>
      </w:tr>
      <w:tr w:rsidR="00082FDC" w14:paraId="685CB3E7" w14:textId="77777777" w:rsidTr="00811699">
        <w:trPr>
          <w:jc w:val="center"/>
        </w:trPr>
        <w:tc>
          <w:tcPr>
            <w:tcW w:w="1492" w:type="dxa"/>
            <w:vMerge/>
          </w:tcPr>
          <w:p w14:paraId="1E7BC43D"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7091" w:type="dxa"/>
          </w:tcPr>
          <w:p w14:paraId="0D2419BA"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3.把人口监测预警、生育政策和相关经济社会政策配套衔接、婴幼儿照护服务、计生特殊家庭扶助关怀等工作列入民生工程或纳入经济社会发展规划，采取措施推动落实，并取得良好成效。（5分）</w:t>
            </w:r>
          </w:p>
        </w:tc>
        <w:tc>
          <w:tcPr>
            <w:tcW w:w="2614" w:type="dxa"/>
          </w:tcPr>
          <w:p w14:paraId="3CFBA593"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77" w:type="dxa"/>
          </w:tcPr>
          <w:p w14:paraId="1D0BCA4D" w14:textId="77777777" w:rsidR="00082FDC" w:rsidRDefault="00082FDC" w:rsidP="00811699">
            <w:pPr>
              <w:spacing w:line="340" w:lineRule="exact"/>
              <w:jc w:val="left"/>
              <w:rPr>
                <w:rFonts w:ascii="仿宋_GB2312" w:eastAsia="仿宋_GB2312" w:hAnsi="仿宋_GB2312" w:cs="仿宋_GB2312" w:hint="eastAsia"/>
                <w:color w:val="000000"/>
                <w:sz w:val="24"/>
              </w:rPr>
            </w:pPr>
          </w:p>
        </w:tc>
      </w:tr>
      <w:tr w:rsidR="00082FDC" w14:paraId="486E3FCC" w14:textId="77777777" w:rsidTr="00811699">
        <w:trPr>
          <w:jc w:val="center"/>
        </w:trPr>
        <w:tc>
          <w:tcPr>
            <w:tcW w:w="1492" w:type="dxa"/>
            <w:vMerge w:val="restart"/>
            <w:vAlign w:val="center"/>
          </w:tcPr>
          <w:p w14:paraId="476E8D25" w14:textId="77777777" w:rsidR="00082FDC" w:rsidRDefault="00082FDC" w:rsidP="00811699">
            <w:pPr>
              <w:spacing w:line="3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二、人口监测（17分）</w:t>
            </w:r>
          </w:p>
        </w:tc>
        <w:tc>
          <w:tcPr>
            <w:tcW w:w="7091" w:type="dxa"/>
          </w:tcPr>
          <w:p w14:paraId="77299151"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hint="eastAsia"/>
                <w:sz w:val="24"/>
              </w:rPr>
              <w:t>认真落实人口监测统计调查制度，动态核查更新全员人口库信息，全员人口库常住人口覆盖率和主要数据项准确率达到90%以上。（5分）</w:t>
            </w:r>
          </w:p>
        </w:tc>
        <w:tc>
          <w:tcPr>
            <w:tcW w:w="2614" w:type="dxa"/>
          </w:tcPr>
          <w:p w14:paraId="10B8B834"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77" w:type="dxa"/>
          </w:tcPr>
          <w:p w14:paraId="197F6C66" w14:textId="77777777" w:rsidR="00082FDC" w:rsidRDefault="00082FDC" w:rsidP="00811699">
            <w:pPr>
              <w:spacing w:line="340" w:lineRule="exact"/>
              <w:jc w:val="left"/>
              <w:rPr>
                <w:rFonts w:ascii="仿宋_GB2312" w:eastAsia="仿宋_GB2312" w:hAnsi="仿宋_GB2312" w:cs="仿宋_GB2312" w:hint="eastAsia"/>
                <w:color w:val="000000"/>
                <w:sz w:val="24"/>
              </w:rPr>
            </w:pPr>
          </w:p>
        </w:tc>
      </w:tr>
      <w:tr w:rsidR="00082FDC" w14:paraId="401984D6" w14:textId="77777777" w:rsidTr="00811699">
        <w:trPr>
          <w:jc w:val="center"/>
        </w:trPr>
        <w:tc>
          <w:tcPr>
            <w:tcW w:w="1492" w:type="dxa"/>
            <w:vMerge/>
            <w:vAlign w:val="center"/>
          </w:tcPr>
          <w:p w14:paraId="48925E89"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91" w:type="dxa"/>
          </w:tcPr>
          <w:p w14:paraId="3241770D"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5.实现卫生健康系统内部和相关部门之间人口基础数据共享和定期会商。（5分）</w:t>
            </w:r>
          </w:p>
        </w:tc>
        <w:tc>
          <w:tcPr>
            <w:tcW w:w="2614" w:type="dxa"/>
          </w:tcPr>
          <w:p w14:paraId="1480F9ED"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77" w:type="dxa"/>
          </w:tcPr>
          <w:p w14:paraId="3300C886" w14:textId="77777777" w:rsidR="00082FDC" w:rsidRDefault="00082FDC" w:rsidP="00811699">
            <w:pPr>
              <w:spacing w:line="340" w:lineRule="exact"/>
              <w:jc w:val="left"/>
              <w:rPr>
                <w:rFonts w:ascii="仿宋_GB2312" w:eastAsia="仿宋_GB2312" w:hAnsi="仿宋_GB2312" w:cs="仿宋_GB2312" w:hint="eastAsia"/>
                <w:color w:val="000000"/>
                <w:sz w:val="24"/>
              </w:rPr>
            </w:pPr>
          </w:p>
        </w:tc>
      </w:tr>
      <w:tr w:rsidR="00082FDC" w14:paraId="54B64C36" w14:textId="77777777" w:rsidTr="00811699">
        <w:trPr>
          <w:trHeight w:val="90"/>
          <w:jc w:val="center"/>
        </w:trPr>
        <w:tc>
          <w:tcPr>
            <w:tcW w:w="1492" w:type="dxa"/>
            <w:vMerge/>
            <w:vAlign w:val="center"/>
          </w:tcPr>
          <w:p w14:paraId="2E09DC83"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91" w:type="dxa"/>
          </w:tcPr>
          <w:p w14:paraId="4B5D4E1A"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6.定期开展人口形势分析。（4分）</w:t>
            </w:r>
          </w:p>
        </w:tc>
        <w:tc>
          <w:tcPr>
            <w:tcW w:w="2614" w:type="dxa"/>
          </w:tcPr>
          <w:p w14:paraId="558A2458"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77" w:type="dxa"/>
          </w:tcPr>
          <w:p w14:paraId="2FA12933" w14:textId="77777777" w:rsidR="00082FDC" w:rsidRDefault="00082FDC" w:rsidP="00811699">
            <w:pPr>
              <w:spacing w:line="340" w:lineRule="exact"/>
              <w:jc w:val="left"/>
              <w:rPr>
                <w:rFonts w:ascii="仿宋_GB2312" w:eastAsia="仿宋_GB2312" w:hAnsi="仿宋_GB2312" w:cs="仿宋_GB2312" w:hint="eastAsia"/>
                <w:color w:val="000000"/>
                <w:sz w:val="24"/>
              </w:rPr>
            </w:pPr>
          </w:p>
        </w:tc>
      </w:tr>
      <w:tr w:rsidR="00082FDC" w14:paraId="3FA438F0" w14:textId="77777777" w:rsidTr="00811699">
        <w:trPr>
          <w:jc w:val="center"/>
        </w:trPr>
        <w:tc>
          <w:tcPr>
            <w:tcW w:w="1492" w:type="dxa"/>
            <w:vMerge/>
            <w:vAlign w:val="center"/>
          </w:tcPr>
          <w:p w14:paraId="7096A6C8"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91" w:type="dxa"/>
          </w:tcPr>
          <w:p w14:paraId="5E892776"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7.作为国家试点区（东城、石景山、大兴）积极参与并高质量完</w:t>
            </w:r>
            <w:r>
              <w:rPr>
                <w:rFonts w:ascii="仿宋_GB2312" w:eastAsia="仿宋_GB2312" w:hAnsi="仿宋_GB2312" w:cs="仿宋_GB2312" w:hint="eastAsia"/>
                <w:color w:val="000000"/>
                <w:sz w:val="24"/>
              </w:rPr>
              <w:lastRenderedPageBreak/>
              <w:t>成人口与家庭发展调查工作。（3分）</w:t>
            </w:r>
          </w:p>
        </w:tc>
        <w:tc>
          <w:tcPr>
            <w:tcW w:w="2614" w:type="dxa"/>
          </w:tcPr>
          <w:p w14:paraId="4EBBCDC8"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77" w:type="dxa"/>
          </w:tcPr>
          <w:p w14:paraId="15D24B6C" w14:textId="77777777" w:rsidR="00082FDC" w:rsidRDefault="00082FDC" w:rsidP="00811699">
            <w:pPr>
              <w:spacing w:line="340" w:lineRule="exact"/>
              <w:jc w:val="left"/>
              <w:rPr>
                <w:rFonts w:ascii="仿宋_GB2312" w:eastAsia="仿宋_GB2312" w:hAnsi="仿宋_GB2312" w:cs="仿宋_GB2312" w:hint="eastAsia"/>
                <w:color w:val="000000"/>
                <w:sz w:val="24"/>
              </w:rPr>
            </w:pPr>
          </w:p>
        </w:tc>
      </w:tr>
    </w:tbl>
    <w:p w14:paraId="1A292CB3" w14:textId="77777777" w:rsidR="00082FDC" w:rsidRDefault="00082FDC" w:rsidP="00082FDC">
      <w:pPr>
        <w:spacing w:line="340" w:lineRule="exact"/>
        <w:jc w:val="left"/>
        <w:rPr>
          <w:rFonts w:ascii="仿宋_GB2312" w:eastAsia="仿宋_GB2312" w:hAnsi="仿宋_GB2312" w:cs="仿宋_GB2312" w:hint="eastAsia"/>
          <w:color w:val="000000"/>
          <w:kern w:val="0"/>
          <w:sz w:val="24"/>
        </w:rPr>
      </w:pPr>
    </w:p>
    <w:p w14:paraId="38A49CE1" w14:textId="77777777" w:rsidR="00082FDC" w:rsidRDefault="00082FDC" w:rsidP="00082FDC">
      <w:pPr>
        <w:spacing w:line="340" w:lineRule="exact"/>
        <w:jc w:val="left"/>
        <w:rPr>
          <w:rFonts w:ascii="仿宋_GB2312" w:eastAsia="仿宋_GB2312" w:hAnsi="仿宋_GB2312" w:cs="仿宋_GB2312" w:hint="eastAsia"/>
          <w:color w:val="000000"/>
          <w:kern w:val="0"/>
          <w:sz w:val="24"/>
        </w:rPr>
      </w:pPr>
    </w:p>
    <w:p w14:paraId="1E233304" w14:textId="77777777" w:rsidR="00082FDC" w:rsidRDefault="00082FDC" w:rsidP="00082FDC">
      <w:pPr>
        <w:spacing w:line="340" w:lineRule="exact"/>
        <w:jc w:val="left"/>
        <w:rPr>
          <w:rFonts w:ascii="仿宋_GB2312" w:eastAsia="仿宋_GB2312" w:hAnsi="仿宋_GB2312" w:cs="仿宋_GB2312" w:hint="eastAsia"/>
          <w:color w:val="000000"/>
          <w:kern w:val="0"/>
          <w:sz w:val="24"/>
        </w:rPr>
      </w:pPr>
    </w:p>
    <w:tbl>
      <w:tblPr>
        <w:tblStyle w:val="a7"/>
        <w:tblW w:w="0" w:type="auto"/>
        <w:tblInd w:w="0" w:type="dxa"/>
        <w:tblLayout w:type="fixed"/>
        <w:tblLook w:val="0000" w:firstRow="0" w:lastRow="0" w:firstColumn="0" w:lastColumn="0" w:noHBand="0" w:noVBand="0"/>
      </w:tblPr>
      <w:tblGrid>
        <w:gridCol w:w="1492"/>
        <w:gridCol w:w="7077"/>
        <w:gridCol w:w="2613"/>
        <w:gridCol w:w="2992"/>
      </w:tblGrid>
      <w:tr w:rsidR="00082FDC" w14:paraId="3379CD37" w14:textId="77777777" w:rsidTr="00811699">
        <w:tc>
          <w:tcPr>
            <w:tcW w:w="1492" w:type="dxa"/>
            <w:vMerge w:val="restart"/>
            <w:vAlign w:val="center"/>
          </w:tcPr>
          <w:p w14:paraId="4768DAAC" w14:textId="77777777" w:rsidR="00082FDC" w:rsidRDefault="00082FDC" w:rsidP="00811699">
            <w:pPr>
              <w:spacing w:line="3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三、生育支持（17分）</w:t>
            </w:r>
          </w:p>
        </w:tc>
        <w:tc>
          <w:tcPr>
            <w:tcW w:w="7077" w:type="dxa"/>
          </w:tcPr>
          <w:p w14:paraId="1C99D77F"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8.规范办理生育登记和再生育确认，无错办、乱办、推诿刁难等现象。（</w:t>
            </w:r>
            <w:r>
              <w:rPr>
                <w:rFonts w:ascii="仿宋_GB2312" w:eastAsia="仿宋_GB2312" w:hAnsi="仿宋_GB2312" w:cs="仿宋_GB2312" w:hint="eastAsia"/>
                <w:color w:val="0000FF"/>
                <w:sz w:val="24"/>
              </w:rPr>
              <w:t>2</w:t>
            </w:r>
            <w:r>
              <w:rPr>
                <w:rFonts w:ascii="仿宋_GB2312" w:eastAsia="仿宋_GB2312" w:hAnsi="仿宋_GB2312" w:cs="仿宋_GB2312" w:hint="eastAsia"/>
                <w:color w:val="000000"/>
                <w:sz w:val="24"/>
              </w:rPr>
              <w:t>分）</w:t>
            </w:r>
          </w:p>
        </w:tc>
        <w:tc>
          <w:tcPr>
            <w:tcW w:w="2613" w:type="dxa"/>
          </w:tcPr>
          <w:p w14:paraId="54ECE2E6"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1EC98180"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712302AC" w14:textId="77777777" w:rsidTr="00811699">
        <w:tc>
          <w:tcPr>
            <w:tcW w:w="1492" w:type="dxa"/>
            <w:vMerge/>
            <w:vAlign w:val="center"/>
          </w:tcPr>
          <w:p w14:paraId="62C275EB"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5932A863"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sz w:val="24"/>
              </w:rPr>
              <w:t>9.实现婚姻登记、婚前医学检查、孕前优生健康检查一站式便民服务，婚前医学检查率达到50%，免费孕前优生健康检查目标人群覆盖率达80%。（3分）</w:t>
            </w:r>
          </w:p>
        </w:tc>
        <w:tc>
          <w:tcPr>
            <w:tcW w:w="2613" w:type="dxa"/>
          </w:tcPr>
          <w:p w14:paraId="0772CD03"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5A2FA6E8"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3FB24CBF" w14:textId="77777777" w:rsidTr="00811699">
        <w:tc>
          <w:tcPr>
            <w:tcW w:w="1492" w:type="dxa"/>
            <w:vMerge/>
          </w:tcPr>
          <w:p w14:paraId="672A6C01"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617E5560"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10.全面落实产假、陪产假等政策，按规定发放生育津贴。（4分）</w:t>
            </w:r>
          </w:p>
        </w:tc>
        <w:tc>
          <w:tcPr>
            <w:tcW w:w="2613" w:type="dxa"/>
          </w:tcPr>
          <w:p w14:paraId="469E3D1C"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3F9B30F7"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753EFD11" w14:textId="77777777" w:rsidTr="00811699">
        <w:tc>
          <w:tcPr>
            <w:tcW w:w="1492" w:type="dxa"/>
            <w:vMerge/>
          </w:tcPr>
          <w:p w14:paraId="36370D22"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78FFB1B5"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11.应配置母婴设施的公共场所和用人单位基本建成标准化的母婴设施。（5分）</w:t>
            </w:r>
          </w:p>
        </w:tc>
        <w:tc>
          <w:tcPr>
            <w:tcW w:w="2613" w:type="dxa"/>
          </w:tcPr>
          <w:p w14:paraId="04515D3A"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40721FE9"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7842EF02" w14:textId="77777777" w:rsidTr="00811699">
        <w:tc>
          <w:tcPr>
            <w:tcW w:w="1492" w:type="dxa"/>
            <w:vMerge/>
          </w:tcPr>
          <w:p w14:paraId="0C7F63B3"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0E207A82"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12.开展新型婚育文化建设和宣传，倡导适龄婚育。（</w:t>
            </w:r>
            <w:r>
              <w:rPr>
                <w:rFonts w:ascii="仿宋_GB2312" w:eastAsia="仿宋_GB2312" w:hAnsi="仿宋_GB2312" w:cs="仿宋_GB2312" w:hint="eastAsia"/>
                <w:color w:val="0000FF"/>
                <w:sz w:val="24"/>
              </w:rPr>
              <w:t>2</w:t>
            </w:r>
            <w:r>
              <w:rPr>
                <w:rFonts w:ascii="仿宋_GB2312" w:eastAsia="仿宋_GB2312" w:hAnsi="仿宋_GB2312" w:cs="仿宋_GB2312" w:hint="eastAsia"/>
                <w:color w:val="000000"/>
                <w:sz w:val="24"/>
              </w:rPr>
              <w:t>分）</w:t>
            </w:r>
          </w:p>
        </w:tc>
        <w:tc>
          <w:tcPr>
            <w:tcW w:w="2613" w:type="dxa"/>
          </w:tcPr>
          <w:p w14:paraId="0F0894B6"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573DC888"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2FFFF2D8" w14:textId="77777777" w:rsidTr="00811699">
        <w:tc>
          <w:tcPr>
            <w:tcW w:w="1492" w:type="dxa"/>
            <w:vMerge w:val="restart"/>
            <w:vAlign w:val="center"/>
          </w:tcPr>
          <w:p w14:paraId="3AD80541" w14:textId="77777777" w:rsidR="00082FDC" w:rsidRDefault="00082FDC" w:rsidP="00811699">
            <w:pPr>
              <w:spacing w:line="3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四、婴幼儿照护服务（18分）</w:t>
            </w:r>
          </w:p>
        </w:tc>
        <w:tc>
          <w:tcPr>
            <w:tcW w:w="7077" w:type="dxa"/>
          </w:tcPr>
          <w:p w14:paraId="0C4E6D40"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13.明确负责发展婴幼儿照护服务管理的机构和人员，并落实工作经费。（5分）</w:t>
            </w:r>
          </w:p>
        </w:tc>
        <w:tc>
          <w:tcPr>
            <w:tcW w:w="2613" w:type="dxa"/>
          </w:tcPr>
          <w:p w14:paraId="37C1F389"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92" w:type="dxa"/>
          </w:tcPr>
          <w:p w14:paraId="26A8ACF5"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4709C870" w14:textId="77777777" w:rsidTr="00811699">
        <w:tc>
          <w:tcPr>
            <w:tcW w:w="1492" w:type="dxa"/>
            <w:vMerge/>
            <w:vAlign w:val="center"/>
          </w:tcPr>
          <w:p w14:paraId="09141905"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63109268"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14.通过多种形式和手段，提升家庭科学育儿能力。（4分）</w:t>
            </w:r>
          </w:p>
        </w:tc>
        <w:tc>
          <w:tcPr>
            <w:tcW w:w="2613" w:type="dxa"/>
          </w:tcPr>
          <w:p w14:paraId="0DCD8576"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92" w:type="dxa"/>
          </w:tcPr>
          <w:p w14:paraId="2085C601"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7E7FF24C" w14:textId="77777777" w:rsidTr="00811699">
        <w:tc>
          <w:tcPr>
            <w:tcW w:w="1492" w:type="dxa"/>
            <w:vMerge/>
          </w:tcPr>
          <w:p w14:paraId="5D5B53BE"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13A87ED0"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15.依托社区儿童中心、儿童早期综合发展服务中心等资源和设施，通过亲子活动和家长课堂等方式，为家庭提供普惠可及的育儿指导服务。（5分）</w:t>
            </w:r>
          </w:p>
        </w:tc>
        <w:tc>
          <w:tcPr>
            <w:tcW w:w="2613" w:type="dxa"/>
          </w:tcPr>
          <w:p w14:paraId="42159C6C"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92" w:type="dxa"/>
          </w:tcPr>
          <w:p w14:paraId="521EB12D"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5DE66F45" w14:textId="77777777" w:rsidTr="00811699">
        <w:tc>
          <w:tcPr>
            <w:tcW w:w="1492" w:type="dxa"/>
            <w:vMerge/>
          </w:tcPr>
          <w:p w14:paraId="0D7F3D7B"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65665280"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16.规范发展多种形式的托育机构，无重大安全事故发生。（4分）</w:t>
            </w:r>
          </w:p>
        </w:tc>
        <w:tc>
          <w:tcPr>
            <w:tcW w:w="2613" w:type="dxa"/>
          </w:tcPr>
          <w:p w14:paraId="2177E8E5" w14:textId="77777777" w:rsidR="00082FDC" w:rsidRDefault="00082FDC" w:rsidP="00811699">
            <w:pPr>
              <w:spacing w:line="340" w:lineRule="exact"/>
              <w:jc w:val="left"/>
              <w:rPr>
                <w:rFonts w:ascii="仿宋_GB2312" w:eastAsia="仿宋_GB2312" w:hAnsi="仿宋_GB2312" w:cs="仿宋_GB2312" w:hint="eastAsia"/>
                <w:color w:val="000000"/>
                <w:sz w:val="24"/>
              </w:rPr>
            </w:pPr>
          </w:p>
        </w:tc>
        <w:tc>
          <w:tcPr>
            <w:tcW w:w="2992" w:type="dxa"/>
          </w:tcPr>
          <w:p w14:paraId="102E5E5A"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6E9B9965" w14:textId="77777777" w:rsidTr="00811699">
        <w:tc>
          <w:tcPr>
            <w:tcW w:w="1492" w:type="dxa"/>
            <w:vMerge w:val="restart"/>
            <w:vAlign w:val="center"/>
          </w:tcPr>
          <w:p w14:paraId="6C479C54" w14:textId="77777777" w:rsidR="00082FDC" w:rsidRDefault="00082FDC" w:rsidP="00811699">
            <w:pPr>
              <w:spacing w:line="340" w:lineRule="exac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五、扶助保</w:t>
            </w:r>
            <w:r>
              <w:rPr>
                <w:rFonts w:ascii="仿宋_GB2312" w:eastAsia="仿宋_GB2312" w:hAnsi="仿宋_GB2312" w:cs="仿宋_GB2312" w:hint="eastAsia"/>
                <w:color w:val="000000"/>
                <w:sz w:val="24"/>
              </w:rPr>
              <w:lastRenderedPageBreak/>
              <w:t>障（18分）</w:t>
            </w:r>
          </w:p>
        </w:tc>
        <w:tc>
          <w:tcPr>
            <w:tcW w:w="7077" w:type="dxa"/>
          </w:tcPr>
          <w:p w14:paraId="124542CC"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17.各项奖励、扶助政策落实到位，工作规范。（4分）</w:t>
            </w:r>
          </w:p>
        </w:tc>
        <w:tc>
          <w:tcPr>
            <w:tcW w:w="2613" w:type="dxa"/>
          </w:tcPr>
          <w:p w14:paraId="06203E64"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1E06313C"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6E3F9FC1" w14:textId="77777777" w:rsidTr="00811699">
        <w:trPr>
          <w:trHeight w:val="817"/>
        </w:trPr>
        <w:tc>
          <w:tcPr>
            <w:tcW w:w="1492" w:type="dxa"/>
            <w:vMerge/>
            <w:vAlign w:val="center"/>
          </w:tcPr>
          <w:p w14:paraId="6258A649"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7DF01C40"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18.计生特殊家庭双岗联系人制度、优先便利医疗服务落实率达100%，家庭医生签约服务做到应签尽签。（4分）</w:t>
            </w:r>
          </w:p>
        </w:tc>
        <w:tc>
          <w:tcPr>
            <w:tcW w:w="2613" w:type="dxa"/>
          </w:tcPr>
          <w:p w14:paraId="7F78CC5E"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58451B92"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0A9AC765" w14:textId="77777777" w:rsidTr="00811699">
        <w:trPr>
          <w:trHeight w:val="1103"/>
        </w:trPr>
        <w:tc>
          <w:tcPr>
            <w:tcW w:w="1492" w:type="dxa"/>
            <w:vMerge/>
            <w:vAlign w:val="center"/>
          </w:tcPr>
          <w:p w14:paraId="19E0A8A6"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5AB2B3C2"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19.深入开展“暖心行动”，开展政府购买服务工作，建立健全精神慰藉制度、走访慰问制度、志愿服务制度和保险保障制度，在特殊人群超过100人的街道建有“心灵家园”，有专兼职工作人员，并定期开展活动。（6分）</w:t>
            </w:r>
          </w:p>
        </w:tc>
        <w:tc>
          <w:tcPr>
            <w:tcW w:w="2613" w:type="dxa"/>
          </w:tcPr>
          <w:p w14:paraId="14A6EFF2"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634FE1EA"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5D03904A" w14:textId="77777777" w:rsidTr="00811699">
        <w:trPr>
          <w:trHeight w:val="463"/>
        </w:trPr>
        <w:tc>
          <w:tcPr>
            <w:tcW w:w="1492" w:type="dxa"/>
            <w:vMerge/>
            <w:vAlign w:val="center"/>
          </w:tcPr>
          <w:p w14:paraId="6EE02B0E"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28E0AF39"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20.近三年无特扶对象集体访、越级访发生。（4分）</w:t>
            </w:r>
          </w:p>
        </w:tc>
        <w:tc>
          <w:tcPr>
            <w:tcW w:w="2613" w:type="dxa"/>
          </w:tcPr>
          <w:p w14:paraId="4EAEF05A"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284793F3"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4714412A" w14:textId="77777777" w:rsidTr="00811699">
        <w:tc>
          <w:tcPr>
            <w:tcW w:w="1492" w:type="dxa"/>
            <w:vMerge w:val="restart"/>
            <w:vAlign w:val="center"/>
          </w:tcPr>
          <w:p w14:paraId="6CC35DDE" w14:textId="77777777" w:rsidR="00082FDC" w:rsidRDefault="00082FDC" w:rsidP="00811699">
            <w:pPr>
              <w:spacing w:line="340" w:lineRule="exact"/>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六、基层网络（15分）</w:t>
            </w:r>
          </w:p>
        </w:tc>
        <w:tc>
          <w:tcPr>
            <w:tcW w:w="7077" w:type="dxa"/>
          </w:tcPr>
          <w:p w14:paraId="1DF4F893"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21.稳定和加强街乡镇、社区村工作力量，基层工作网络健全，保障基层计生专干待遇。（5分）</w:t>
            </w:r>
          </w:p>
        </w:tc>
        <w:tc>
          <w:tcPr>
            <w:tcW w:w="2613" w:type="dxa"/>
          </w:tcPr>
          <w:p w14:paraId="59F0DAAB"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0801C5F7"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71E992C1" w14:textId="77777777" w:rsidTr="00811699">
        <w:tc>
          <w:tcPr>
            <w:tcW w:w="1492" w:type="dxa"/>
            <w:vMerge/>
          </w:tcPr>
          <w:p w14:paraId="6F14B714"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08C07DC5"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22.定期组织人员培训，积极参与爱国卫生、疾病防控、妇幼保健、健康教育等工作。（3分）</w:t>
            </w:r>
          </w:p>
        </w:tc>
        <w:tc>
          <w:tcPr>
            <w:tcW w:w="2613" w:type="dxa"/>
          </w:tcPr>
          <w:p w14:paraId="5BA599A6"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7B046026"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77195D7D" w14:textId="77777777" w:rsidTr="00811699">
        <w:tc>
          <w:tcPr>
            <w:tcW w:w="1492" w:type="dxa"/>
            <w:vMerge/>
          </w:tcPr>
          <w:p w14:paraId="28AFE72F"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7F44AD4B" w14:textId="77777777" w:rsidR="00082FDC" w:rsidRDefault="00082FDC" w:rsidP="00811699">
            <w:pPr>
              <w:spacing w:line="3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23.推进妇幼保健机构标准化建设，机构科室设置健全且与开展的服务相匹配，人员配备、业务用房、设备配备符合国家和北京市相关要求。（3分）</w:t>
            </w:r>
          </w:p>
        </w:tc>
        <w:tc>
          <w:tcPr>
            <w:tcW w:w="2613" w:type="dxa"/>
          </w:tcPr>
          <w:p w14:paraId="08B9116F"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3EDE741D"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r w:rsidR="00082FDC" w14:paraId="31BE9032" w14:textId="77777777" w:rsidTr="00811699">
        <w:trPr>
          <w:trHeight w:val="620"/>
        </w:trPr>
        <w:tc>
          <w:tcPr>
            <w:tcW w:w="1492" w:type="dxa"/>
            <w:vMerge/>
          </w:tcPr>
          <w:p w14:paraId="23248643"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7077" w:type="dxa"/>
          </w:tcPr>
          <w:p w14:paraId="4B3F89F0" w14:textId="77777777" w:rsidR="00082FDC" w:rsidRDefault="00082FDC" w:rsidP="00811699">
            <w:pPr>
              <w:spacing w:line="340" w:lineRule="exact"/>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24.推进计生协会改革，基层计生协会组织网络健全，深化基层群众自治。（</w:t>
            </w:r>
            <w:r>
              <w:rPr>
                <w:rFonts w:ascii="仿宋_GB2312" w:eastAsia="仿宋_GB2312" w:hAnsi="仿宋_GB2312" w:cs="仿宋_GB2312" w:hint="eastAsia"/>
                <w:color w:val="0000FF"/>
                <w:sz w:val="24"/>
              </w:rPr>
              <w:t>4</w:t>
            </w:r>
            <w:r>
              <w:rPr>
                <w:rFonts w:ascii="仿宋_GB2312" w:eastAsia="仿宋_GB2312" w:hAnsi="仿宋_GB2312" w:cs="仿宋_GB2312" w:hint="eastAsia"/>
                <w:color w:val="000000"/>
                <w:sz w:val="24"/>
              </w:rPr>
              <w:t>分）</w:t>
            </w:r>
          </w:p>
        </w:tc>
        <w:tc>
          <w:tcPr>
            <w:tcW w:w="2613" w:type="dxa"/>
          </w:tcPr>
          <w:p w14:paraId="5F9B8E9B" w14:textId="77777777" w:rsidR="00082FDC" w:rsidRDefault="00082FDC" w:rsidP="00811699">
            <w:pPr>
              <w:spacing w:line="340" w:lineRule="exact"/>
              <w:jc w:val="center"/>
              <w:rPr>
                <w:rFonts w:ascii="仿宋_GB2312" w:eastAsia="仿宋_GB2312" w:hAnsi="仿宋_GB2312" w:cs="仿宋_GB2312" w:hint="eastAsia"/>
                <w:color w:val="000000"/>
                <w:sz w:val="24"/>
              </w:rPr>
            </w:pPr>
          </w:p>
        </w:tc>
        <w:tc>
          <w:tcPr>
            <w:tcW w:w="2992" w:type="dxa"/>
          </w:tcPr>
          <w:p w14:paraId="6DBAC904" w14:textId="77777777" w:rsidR="00082FDC" w:rsidRDefault="00082FDC" w:rsidP="00811699">
            <w:pPr>
              <w:spacing w:line="340" w:lineRule="exact"/>
              <w:jc w:val="center"/>
              <w:rPr>
                <w:rFonts w:ascii="仿宋_GB2312" w:eastAsia="仿宋_GB2312" w:hAnsi="仿宋_GB2312" w:cs="仿宋_GB2312" w:hint="eastAsia"/>
                <w:color w:val="000000"/>
                <w:sz w:val="24"/>
              </w:rPr>
            </w:pPr>
          </w:p>
        </w:tc>
      </w:tr>
    </w:tbl>
    <w:p w14:paraId="76AE9DCF" w14:textId="77777777" w:rsidR="00082FDC" w:rsidRDefault="00082FDC" w:rsidP="00082FDC">
      <w:pPr>
        <w:tabs>
          <w:tab w:val="left" w:pos="1665"/>
          <w:tab w:val="center" w:pos="4422"/>
        </w:tabs>
        <w:jc w:val="left"/>
        <w:rPr>
          <w:rFonts w:ascii="仿宋_GB2312" w:eastAsia="仿宋_GB2312" w:hAnsi="仿宋_GB2312" w:cs="仿宋_GB2312" w:hint="eastAsia"/>
          <w:bCs/>
          <w:sz w:val="32"/>
          <w:szCs w:val="32"/>
        </w:rPr>
      </w:pPr>
    </w:p>
    <w:p w14:paraId="23E911A0" w14:textId="77777777" w:rsidR="00082FDC" w:rsidRDefault="00082FDC" w:rsidP="00082FDC">
      <w:pPr>
        <w:tabs>
          <w:tab w:val="left" w:pos="1665"/>
          <w:tab w:val="center" w:pos="4422"/>
        </w:tabs>
        <w:jc w:val="left"/>
        <w:rPr>
          <w:rFonts w:ascii="仿宋_GB2312" w:eastAsia="仿宋_GB2312" w:hAnsi="仿宋_GB2312" w:cs="仿宋_GB2312" w:hint="eastAsia"/>
          <w:bCs/>
          <w:sz w:val="32"/>
          <w:szCs w:val="32"/>
        </w:rPr>
      </w:pPr>
    </w:p>
    <w:p w14:paraId="3F55F1AE" w14:textId="77777777" w:rsidR="00082FDC" w:rsidRDefault="00082FDC" w:rsidP="00082FDC">
      <w:pPr>
        <w:tabs>
          <w:tab w:val="left" w:pos="1665"/>
          <w:tab w:val="center" w:pos="4422"/>
        </w:tabs>
        <w:jc w:val="left"/>
        <w:rPr>
          <w:rFonts w:ascii="仿宋_GB2312" w:eastAsia="仿宋_GB2312" w:hAnsi="仿宋_GB2312" w:cs="仿宋_GB2312" w:hint="eastAsia"/>
          <w:bCs/>
          <w:sz w:val="32"/>
          <w:szCs w:val="32"/>
        </w:rPr>
      </w:pPr>
    </w:p>
    <w:p w14:paraId="7256D6E1" w14:textId="77777777" w:rsidR="00811718" w:rsidRDefault="00811718"/>
    <w:sectPr w:rsidR="00811718" w:rsidSect="00082F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DA2B" w14:textId="77777777" w:rsidR="00881C1E" w:rsidRDefault="00881C1E" w:rsidP="00082FDC">
      <w:r>
        <w:separator/>
      </w:r>
    </w:p>
  </w:endnote>
  <w:endnote w:type="continuationSeparator" w:id="0">
    <w:p w14:paraId="25B8CD8D" w14:textId="77777777" w:rsidR="00881C1E" w:rsidRDefault="00881C1E" w:rsidP="0008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C785" w14:textId="77777777" w:rsidR="00881C1E" w:rsidRDefault="00881C1E" w:rsidP="00082FDC">
      <w:r>
        <w:separator/>
      </w:r>
    </w:p>
  </w:footnote>
  <w:footnote w:type="continuationSeparator" w:id="0">
    <w:p w14:paraId="289A31B9" w14:textId="77777777" w:rsidR="00881C1E" w:rsidRDefault="00881C1E" w:rsidP="0008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6"/>
    <w:rsid w:val="00082FDC"/>
    <w:rsid w:val="007E7306"/>
    <w:rsid w:val="00811718"/>
    <w:rsid w:val="0088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D39A62-AF80-460A-9C21-51D4A9F4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F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F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82FDC"/>
    <w:rPr>
      <w:sz w:val="18"/>
      <w:szCs w:val="18"/>
    </w:rPr>
  </w:style>
  <w:style w:type="paragraph" w:styleId="a5">
    <w:name w:val="footer"/>
    <w:basedOn w:val="a"/>
    <w:link w:val="a6"/>
    <w:uiPriority w:val="99"/>
    <w:unhideWhenUsed/>
    <w:rsid w:val="00082F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82FDC"/>
    <w:rPr>
      <w:sz w:val="18"/>
      <w:szCs w:val="18"/>
    </w:rPr>
  </w:style>
  <w:style w:type="table" w:styleId="a7">
    <w:name w:val="Table Grid"/>
    <w:basedOn w:val="a1"/>
    <w:rsid w:val="00082FD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2020-08-07T11:10:00Z</dcterms:created>
  <dcterms:modified xsi:type="dcterms:W3CDTF">2020-08-07T11:11:00Z</dcterms:modified>
</cp:coreProperties>
</file>