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0C4E" w14:textId="77777777" w:rsidR="00A92794" w:rsidRDefault="00A92794" w:rsidP="00A92794">
      <w:pPr>
        <w:pStyle w:val="ListParagraph"/>
        <w:spacing w:line="560" w:lineRule="exact"/>
        <w:ind w:firstLineChars="0" w:firstLine="0"/>
        <w:jc w:val="left"/>
        <w:rPr>
          <w:rFonts w:ascii="仿宋_GB2312" w:eastAsia="仿宋_GB2312" w:hAnsi="仿宋_GB2312" w:cs="仿宋_GB2312"/>
          <w:sz w:val="32"/>
          <w:szCs w:val="32"/>
        </w:rPr>
      </w:pPr>
      <w:r>
        <w:rPr>
          <w:rFonts w:ascii="黑体" w:eastAsia="黑体" w:hAnsi="黑体" w:cs="黑体" w:hint="eastAsia"/>
          <w:sz w:val="32"/>
          <w:szCs w:val="32"/>
        </w:rPr>
        <w:t>附件</w:t>
      </w:r>
    </w:p>
    <w:p w14:paraId="3804CC1A" w14:textId="77777777" w:rsidR="00A92794" w:rsidRDefault="00A92794" w:rsidP="00A92794">
      <w:pPr>
        <w:snapToGrid w:val="0"/>
        <w:spacing w:line="8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市级结核病定点医院收治肺结核患者</w:t>
      </w:r>
    </w:p>
    <w:p w14:paraId="2B16CB07" w14:textId="77777777" w:rsidR="00A92794" w:rsidRDefault="00A92794" w:rsidP="00A92794">
      <w:pPr>
        <w:snapToGrid w:val="0"/>
        <w:spacing w:line="8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系统管理工作方案</w:t>
      </w:r>
    </w:p>
    <w:p w14:paraId="24778D42" w14:textId="77777777" w:rsidR="00A92794" w:rsidRDefault="00A92794" w:rsidP="00A92794">
      <w:pPr>
        <w:snapToGrid w:val="0"/>
        <w:spacing w:line="360" w:lineRule="auto"/>
        <w:ind w:firstLineChars="200" w:firstLine="640"/>
        <w:rPr>
          <w:rFonts w:ascii="仿宋_GB2312" w:eastAsia="仿宋_GB2312" w:hAnsi="仿宋_GB2312" w:cs="仿宋_GB2312" w:hint="eastAsia"/>
          <w:sz w:val="32"/>
          <w:szCs w:val="32"/>
        </w:rPr>
      </w:pPr>
    </w:p>
    <w:p w14:paraId="1972DBEB"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为规范市级结核病定点医院（以下简称定点医院）收治肺结核患者的诊断、治疗、定期复诊和信息管理等工作，提高肺结核患者全程规范治疗管理水平，特制订本工作方案。</w:t>
      </w:r>
    </w:p>
    <w:p w14:paraId="666B9006" w14:textId="77777777" w:rsidR="00A92794" w:rsidRDefault="00A92794" w:rsidP="00A92794">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一、机构职责</w:t>
      </w:r>
    </w:p>
    <w:p w14:paraId="47812539"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（一）市卫生健康委</w:t>
      </w:r>
    </w:p>
    <w:p w14:paraId="407DDCE4"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1.制订市级定点医院收治肺结核患者系统管理工作方案，组织开展市级定点医院收治肺结核患者系统管理工作，并予以</w:t>
      </w:r>
      <w:r>
        <w:rPr>
          <w:rFonts w:ascii="仿宋_GB2312" w:eastAsia="仿宋_GB2312" w:hAnsi="仿宋_GB2312" w:cs="仿宋_GB2312"/>
          <w:sz w:val="32"/>
          <w:szCs w:val="32"/>
        </w:rPr>
        <w:t>一定支持</w:t>
      </w:r>
      <w:r>
        <w:rPr>
          <w:rFonts w:ascii="仿宋_GB2312" w:eastAsia="仿宋_GB2312" w:hAnsi="仿宋_GB2312" w:cs="仿宋_GB2312" w:hint="eastAsia"/>
          <w:sz w:val="32"/>
          <w:szCs w:val="32"/>
        </w:rPr>
        <w:t>。</w:t>
      </w:r>
    </w:p>
    <w:p w14:paraId="378FE0DC"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2.推动将收治肺结核患者系统管理工作纳入市级定点医院绩效考核内容。</w:t>
      </w:r>
    </w:p>
    <w:p w14:paraId="25B21D15"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3.组织对市级定点医院收治肺结核患者系统管理工作进行督导考核。</w:t>
      </w:r>
    </w:p>
    <w:p w14:paraId="3D127B35"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（二）市结控所</w:t>
      </w:r>
    </w:p>
    <w:p w14:paraId="090D6C29"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1.协助市卫生健康委制订市级定点医院收治肺结核患者系统管理工作方案。</w:t>
      </w:r>
    </w:p>
    <w:p w14:paraId="62FB1472"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2.为市级定点医院收治肺结核患者系统管理工作提供技术</w:t>
      </w:r>
      <w:r>
        <w:rPr>
          <w:rFonts w:ascii="仿宋_GB2312" w:eastAsia="仿宋_GB2312" w:hAnsi="仿宋_GB2312" w:cs="仿宋_GB2312" w:hint="eastAsia"/>
          <w:sz w:val="32"/>
          <w:szCs w:val="32"/>
        </w:rPr>
        <w:lastRenderedPageBreak/>
        <w:t>支持。</w:t>
      </w:r>
    </w:p>
    <w:p w14:paraId="554C320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3.协调区结核病防治机构与市级定点医院做好工作衔接。</w:t>
      </w:r>
    </w:p>
    <w:p w14:paraId="6729185A"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4.协助市卫生健康委对市级定点医院工作进行督导考核。</w:t>
      </w:r>
    </w:p>
    <w:p w14:paraId="2E9829A9"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（三）市级定点医院</w:t>
      </w:r>
    </w:p>
    <w:p w14:paraId="1E8300A1"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将收治本市常住人口肺结核患者系统管理工作作为本院重点业务工作内容进行统一部署，指定职能部门负责该项工作的组织协调。确定专职人员负责结核病信息管理、收治患者定期复诊管理等。制定本院肺结核患者治疗管理工作规范，明确门诊、病房等相关部门肺结核患者治疗管理职责、工作内容及工作流程。</w:t>
      </w:r>
    </w:p>
    <w:p w14:paraId="22BBD7DD"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中国结核病预防控制工作技术规范》、《北京市结核病防治工作规范》、《肺结核诊断标准（WS288-2017）》《肺结核门诊诊疗规范》、《初治菌阳肺结核临床路径》、《复治菌阳肺结核临床路径》、《耐多药肺结核临床路径》等文件要求规范开展肺结核诊断、治疗及复诊管理等工作。</w:t>
      </w:r>
    </w:p>
    <w:p w14:paraId="1B54F5A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3.按要求收集患者基本情况、发病及就诊、诊断、治疗、实验室及影像学检查、定期复诊及治疗转归等信息，并录入结核病管理信息系统（以下</w:t>
      </w:r>
      <w:r>
        <w:rPr>
          <w:rFonts w:ascii="仿宋_GB2312" w:eastAsia="仿宋_GB2312" w:hAnsi="仿宋_GB2312" w:cs="仿宋_GB2312"/>
          <w:sz w:val="32"/>
          <w:szCs w:val="32"/>
        </w:rPr>
        <w:t>简称“</w:t>
      </w:r>
      <w:r>
        <w:rPr>
          <w:rFonts w:ascii="仿宋_GB2312" w:eastAsia="仿宋_GB2312" w:hAnsi="仿宋_GB2312" w:cs="仿宋_GB2312" w:hint="eastAsia"/>
          <w:sz w:val="32"/>
          <w:szCs w:val="32"/>
        </w:rPr>
        <w:t>专报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14:paraId="2561D720"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4.配合区级结防机构和社区卫生服务机构对患者开展健康管理工作。</w:t>
      </w:r>
    </w:p>
    <w:p w14:paraId="3586A1F8"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（四）区级结防机构</w:t>
      </w:r>
    </w:p>
    <w:p w14:paraId="09007B8B"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1.组织对网络报告肺结核患者进行追踪核实。</w:t>
      </w:r>
    </w:p>
    <w:p w14:paraId="72902BC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2.组织落实本辖区肺结核患者督导服药等健康管理工作。</w:t>
      </w:r>
    </w:p>
    <w:p w14:paraId="1FED7367"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3.组织开展肺结核患者密切接触者筛查工作。</w:t>
      </w:r>
    </w:p>
    <w:p w14:paraId="7370E9BE"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（五）社区卫生服务机构</w:t>
      </w:r>
    </w:p>
    <w:p w14:paraId="4DC4081F"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按要求落实市级定点医院收治的本辖区肺结核患者健康管理工作。</w:t>
      </w:r>
    </w:p>
    <w:p w14:paraId="74786EE4" w14:textId="77777777" w:rsidR="00A92794" w:rsidRDefault="00A92794" w:rsidP="00A92794">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二、工作对象</w:t>
      </w:r>
    </w:p>
    <w:p w14:paraId="4B4314AB"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在市级定点医院接受抗结核治疗的本市常住人口肺结核患者。</w:t>
      </w:r>
    </w:p>
    <w:p w14:paraId="677CB711" w14:textId="77777777" w:rsidR="00A92794" w:rsidRDefault="00A92794" w:rsidP="00A92794">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三、工作内容</w:t>
      </w:r>
    </w:p>
    <w:p w14:paraId="3687E3F0" w14:textId="77777777" w:rsidR="00A92794" w:rsidRDefault="00A92794" w:rsidP="00A92794">
      <w:pPr>
        <w:snapToGrid w:val="0"/>
        <w:spacing w:line="360" w:lineRule="auto"/>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市级定点医院收治肺结核患者系统管理工作流程及职责见附件1-1。</w:t>
      </w:r>
    </w:p>
    <w:p w14:paraId="16404316"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（一）接诊</w:t>
      </w:r>
    </w:p>
    <w:p w14:paraId="3A5A4EC0"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1.市级定点医院接诊医生按照相关技术指南和规范要求对就诊的可疑肺结核患者进行规范检查、诊断和治疗。对疑似病例及时进行排除或确诊。</w:t>
      </w:r>
    </w:p>
    <w:p w14:paraId="358BF896"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2.对所有诊断的肺结核和疑似肺结核患者，按照《中华人民共和国传染病防治法》和《传染病信息报告管理规范》要求进行报告，</w:t>
      </w:r>
      <w:r>
        <w:rPr>
          <w:rFonts w:ascii="仿宋_GB2312" w:eastAsia="仿宋_GB2312" w:hAnsi="仿宋_GB2312" w:cs="仿宋_GB2312"/>
          <w:sz w:val="32"/>
          <w:szCs w:val="32"/>
        </w:rPr>
        <w:t>对疑似病例</w:t>
      </w:r>
      <w:r>
        <w:rPr>
          <w:rFonts w:ascii="仿宋_GB2312" w:eastAsia="仿宋_GB2312" w:hAnsi="仿宋_GB2312" w:cs="仿宋_GB2312" w:hint="eastAsia"/>
          <w:sz w:val="32"/>
          <w:szCs w:val="32"/>
        </w:rPr>
        <w:t>要</w:t>
      </w:r>
      <w:r>
        <w:rPr>
          <w:rFonts w:ascii="仿宋_GB2312" w:eastAsia="仿宋_GB2312" w:hAnsi="仿宋_GB2312" w:cs="仿宋_GB2312"/>
          <w:sz w:val="32"/>
          <w:szCs w:val="32"/>
        </w:rPr>
        <w:t>及时订正报告。</w:t>
      </w:r>
    </w:p>
    <w:p w14:paraId="55CC6E5A"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3.确诊本市常住人口患者后，对其进行健康教育，向其发放</w:t>
      </w:r>
      <w:r>
        <w:rPr>
          <w:rFonts w:ascii="仿宋_GB2312" w:eastAsia="仿宋_GB2312" w:hAnsi="仿宋_GB2312" w:cs="仿宋_GB2312" w:hint="eastAsia"/>
          <w:sz w:val="32"/>
          <w:szCs w:val="32"/>
        </w:rPr>
        <w:lastRenderedPageBreak/>
        <w:t>“市级定点医院收治肺结核患者督导管理告知书（附件1-2）”，同时在诊室醒目位置张贴相关内容。告知患者，对于选择在本院进行抗结核治疗的患者，要按医嘱定期来院复诊，并配合居住地社区医务人员开展督导服药等健康管理工作，动员家属等密切接触者到区级结核病定点医疗机构进行结核病筛查。将决定不在本院进行</w:t>
      </w:r>
      <w:r>
        <w:rPr>
          <w:rFonts w:ascii="仿宋_GB2312" w:eastAsia="仿宋_GB2312" w:hAnsi="仿宋_GB2312" w:cs="仿宋_GB2312"/>
          <w:sz w:val="32"/>
          <w:szCs w:val="32"/>
        </w:rPr>
        <w:t>后续抗结核</w:t>
      </w:r>
      <w:r>
        <w:rPr>
          <w:rFonts w:ascii="仿宋_GB2312" w:eastAsia="仿宋_GB2312" w:hAnsi="仿宋_GB2312" w:cs="仿宋_GB2312" w:hint="eastAsia"/>
          <w:sz w:val="32"/>
          <w:szCs w:val="32"/>
        </w:rPr>
        <w:t>治疗的患者转诊到居住地结核病定点医疗机构。</w:t>
      </w:r>
    </w:p>
    <w:p w14:paraId="1EB26710"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4.接诊医生在医院信息系统（HIS系统）中详细记录患者基本信息、诊疗信息（附件1-3），以便信息管理人员能完成专报中病案信息的填报工作。</w:t>
      </w:r>
    </w:p>
    <w:p w14:paraId="3D2887A9"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（二）登记管理</w:t>
      </w:r>
    </w:p>
    <w:p w14:paraId="56E936BC"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1.市级定点医院的结核病信息管理人员每天浏览传染病报告信息。查询本院3个工作日之前门诊和病房进行传染病报告的、现住址为本市的确诊肺结核患者。将已在本院开具抗结核药品作为本院收治判定标准等。</w:t>
      </w:r>
    </w:p>
    <w:p w14:paraId="4BE5AA0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2.通过HIS系统等采集患者相关信息，在专报建立患者病案。在专报中把患者的“首管理单位”设定为居住地区级结防机构，由后者落实后续督导服药等健康管理。</w:t>
      </w:r>
    </w:p>
    <w:p w14:paraId="44B9BA2C"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3.对于住院患者，出院时对其进行健康教育，动员其回居住地定点医疗机构进行后续治疗。对于选择在本院门诊进行后续抗</w:t>
      </w:r>
      <w:r>
        <w:rPr>
          <w:rFonts w:ascii="仿宋_GB2312" w:eastAsia="仿宋_GB2312" w:hAnsi="仿宋_GB2312" w:cs="仿宋_GB2312" w:hint="eastAsia"/>
          <w:sz w:val="32"/>
          <w:szCs w:val="32"/>
        </w:rPr>
        <w:lastRenderedPageBreak/>
        <w:t>结核治疗的患者，由市级定点医院负责后续治疗管理，并完成专报随访信息采集及录入工作。对于选择回居住地进行后续治疗的患者，市级</w:t>
      </w:r>
      <w:r>
        <w:rPr>
          <w:rFonts w:ascii="仿宋_GB2312" w:eastAsia="仿宋_GB2312" w:hAnsi="仿宋_GB2312" w:cs="仿宋_GB2312"/>
          <w:sz w:val="32"/>
          <w:szCs w:val="32"/>
        </w:rPr>
        <w:t>结核病定点医院在</w:t>
      </w:r>
      <w:r>
        <w:rPr>
          <w:rFonts w:ascii="仿宋_GB2312" w:eastAsia="仿宋_GB2312" w:hAnsi="仿宋_GB2312" w:cs="仿宋_GB2312" w:hint="eastAsia"/>
          <w:sz w:val="32"/>
          <w:szCs w:val="32"/>
        </w:rPr>
        <w:t>专报</w:t>
      </w:r>
      <w:r>
        <w:rPr>
          <w:rFonts w:ascii="仿宋_GB2312" w:eastAsia="仿宋_GB2312" w:hAnsi="仿宋_GB2312" w:cs="仿宋_GB2312"/>
          <w:sz w:val="32"/>
          <w:szCs w:val="32"/>
        </w:rPr>
        <w:t>中将患者转</w:t>
      </w:r>
      <w:r>
        <w:rPr>
          <w:rFonts w:ascii="仿宋_GB2312" w:eastAsia="仿宋_GB2312" w:hAnsi="仿宋_GB2312" w:cs="仿宋_GB2312" w:hint="eastAsia"/>
          <w:sz w:val="32"/>
          <w:szCs w:val="32"/>
        </w:rPr>
        <w:t>给</w:t>
      </w:r>
      <w:r>
        <w:rPr>
          <w:rFonts w:ascii="仿宋_GB2312" w:eastAsia="仿宋_GB2312" w:hAnsi="仿宋_GB2312" w:cs="仿宋_GB2312"/>
          <w:sz w:val="32"/>
          <w:szCs w:val="32"/>
        </w:rPr>
        <w:t>居住地</w:t>
      </w:r>
      <w:r>
        <w:rPr>
          <w:rFonts w:ascii="仿宋_GB2312" w:eastAsia="仿宋_GB2312" w:hAnsi="仿宋_GB2312" w:cs="仿宋_GB2312" w:hint="eastAsia"/>
          <w:sz w:val="32"/>
          <w:szCs w:val="32"/>
        </w:rPr>
        <w:t>区级结核病定点医疗机构，</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居住地区级结防机构协调落实跨区域管理工作</w:t>
      </w:r>
      <w:r>
        <w:rPr>
          <w:rFonts w:ascii="仿宋_GB2312" w:eastAsia="仿宋_GB2312" w:hAnsi="仿宋_GB2312" w:cs="仿宋_GB2312"/>
          <w:sz w:val="32"/>
          <w:szCs w:val="32"/>
        </w:rPr>
        <w:t>。</w:t>
      </w:r>
    </w:p>
    <w:p w14:paraId="2427F0B8" w14:textId="77777777" w:rsidR="00A92794" w:rsidRDefault="00A92794" w:rsidP="00A92794">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（三）追踪核实</w:t>
      </w:r>
    </w:p>
    <w:p w14:paraId="2B4A884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区级结防机构工作人员每日查询肺结核报告信息，重点关注市级结核病定点医院报告的本市常住人口肺结核患者，组织社区卫生服务机构进行追踪核实，着重</w:t>
      </w:r>
      <w:r>
        <w:rPr>
          <w:rFonts w:ascii="仿宋_GB2312" w:eastAsia="仿宋_GB2312" w:hAnsi="仿宋_GB2312" w:cs="仿宋_GB2312"/>
          <w:sz w:val="32"/>
          <w:szCs w:val="32"/>
        </w:rPr>
        <w:t>核实后续抗结核治疗机构，</w:t>
      </w:r>
      <w:r>
        <w:rPr>
          <w:rFonts w:ascii="仿宋_GB2312" w:eastAsia="仿宋_GB2312" w:hAnsi="仿宋_GB2312" w:cs="仿宋_GB2312" w:hint="eastAsia"/>
          <w:sz w:val="32"/>
          <w:szCs w:val="32"/>
        </w:rPr>
        <w:t>并于3个工作日内将核实结果填报到专报中。发现市级定点医院传染病报告一周后仍未收治的肺结核患者，区级结防机构应进一步组织追踪，促进本市常住人口患者“应收尽收”。</w:t>
      </w:r>
    </w:p>
    <w:p w14:paraId="655BDA6C"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（四）健康管理服务</w:t>
      </w:r>
    </w:p>
    <w:p w14:paraId="0FD74305"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医务人员按要求为患者提供督导服药等健康管理服务。开展首次入户访视、定期随访评估，了解患者治疗情况、督促患者规律服药、监测不良反应、提醒患者定期复诊、按要求查痰，并记录访视结果。社区医务人员发现患者失访、不良反应停药甚至死亡等情况后，应及时向区级结防机构反馈。区级结防机构积极发挥首管理单位职责，组织追访核实，提高全程系统管理质量。</w:t>
      </w:r>
    </w:p>
    <w:p w14:paraId="5032CBDD"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（五）肺结核患者的复诊管理</w:t>
      </w:r>
    </w:p>
    <w:p w14:paraId="47C3CE34" w14:textId="77777777" w:rsidR="00A92794" w:rsidRDefault="00A92794" w:rsidP="00A92794">
      <w:pPr>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1.市级定点医院</w:t>
      </w:r>
    </w:p>
    <w:p w14:paraId="3DCA7077"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（1）门诊医生在接诊复诊患者时，按相关规范要求进行相应检查，详细记录其病情变化、取药及痰检等信息。对患者治疗过程中出现的不良反应及时给予正确处理（见</w:t>
      </w:r>
      <w:r>
        <w:rPr>
          <w:rFonts w:ascii="仿宋_GB2312" w:eastAsia="仿宋_GB2312" w:hAnsi="仿宋_GB2312" w:cs="仿宋_GB2312"/>
          <w:sz w:val="32"/>
          <w:szCs w:val="32"/>
        </w:rPr>
        <w:t>表</w:t>
      </w:r>
      <w:r>
        <w:rPr>
          <w:rFonts w:ascii="仿宋_GB2312" w:eastAsia="仿宋_GB2312" w:hAnsi="仿宋_GB2312" w:cs="仿宋_GB2312" w:hint="eastAsia"/>
          <w:sz w:val="32"/>
          <w:szCs w:val="32"/>
        </w:rPr>
        <w:t>1）。</w:t>
      </w:r>
    </w:p>
    <w:p w14:paraId="1A495B53" w14:textId="77777777" w:rsidR="00A92794" w:rsidRDefault="00A92794" w:rsidP="00A92794">
      <w:pPr>
        <w:snapToGrid w:val="0"/>
        <w:spacing w:line="360" w:lineRule="auto"/>
        <w:jc w:val="center"/>
        <w:rPr>
          <w:rFonts w:ascii="宋体" w:hAnsi="宋体"/>
          <w:b/>
          <w:sz w:val="18"/>
          <w:szCs w:val="18"/>
        </w:rPr>
      </w:pPr>
      <w:r>
        <w:rPr>
          <w:rFonts w:ascii="宋体" w:hAnsi="宋体" w:hint="eastAsia"/>
          <w:b/>
          <w:sz w:val="24"/>
        </w:rPr>
        <w:t>表1  肺结核患者治疗过程中主要检查项目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007"/>
        <w:gridCol w:w="677"/>
        <w:gridCol w:w="851"/>
        <w:gridCol w:w="708"/>
        <w:gridCol w:w="426"/>
        <w:gridCol w:w="708"/>
        <w:gridCol w:w="567"/>
        <w:gridCol w:w="567"/>
        <w:gridCol w:w="709"/>
        <w:gridCol w:w="1134"/>
        <w:gridCol w:w="567"/>
        <w:gridCol w:w="1134"/>
      </w:tblGrid>
      <w:tr w:rsidR="00A92794" w14:paraId="0C886949" w14:textId="77777777" w:rsidTr="00E07173">
        <w:trPr>
          <w:cantSplit/>
          <w:trHeight w:val="177"/>
          <w:jc w:val="center"/>
        </w:trPr>
        <w:tc>
          <w:tcPr>
            <w:tcW w:w="1007" w:type="dxa"/>
            <w:vMerge w:val="restart"/>
            <w:tcBorders>
              <w:top w:val="single" w:sz="8" w:space="0" w:color="auto"/>
              <w:left w:val="single" w:sz="8" w:space="0" w:color="auto"/>
              <w:bottom w:val="single" w:sz="4" w:space="0" w:color="auto"/>
              <w:right w:val="single" w:sz="4" w:space="0" w:color="auto"/>
            </w:tcBorders>
            <w:vAlign w:val="center"/>
          </w:tcPr>
          <w:p w14:paraId="0B414DA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检查对象</w:t>
            </w:r>
          </w:p>
        </w:tc>
        <w:tc>
          <w:tcPr>
            <w:tcW w:w="677" w:type="dxa"/>
            <w:vMerge w:val="restart"/>
            <w:tcBorders>
              <w:top w:val="single" w:sz="8" w:space="0" w:color="auto"/>
              <w:left w:val="single" w:sz="4" w:space="0" w:color="auto"/>
              <w:bottom w:val="single" w:sz="4" w:space="0" w:color="auto"/>
              <w:right w:val="single" w:sz="4" w:space="0" w:color="auto"/>
            </w:tcBorders>
            <w:vAlign w:val="center"/>
          </w:tcPr>
          <w:p w14:paraId="634DCD7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治疗史</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14:paraId="3AD07CD0"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检查</w:t>
            </w:r>
          </w:p>
          <w:p w14:paraId="6B5119F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内容</w:t>
            </w:r>
          </w:p>
        </w:tc>
        <w:tc>
          <w:tcPr>
            <w:tcW w:w="6520" w:type="dxa"/>
            <w:gridSpan w:val="9"/>
            <w:tcBorders>
              <w:top w:val="single" w:sz="8" w:space="0" w:color="auto"/>
              <w:left w:val="single" w:sz="4" w:space="0" w:color="auto"/>
              <w:bottom w:val="single" w:sz="4" w:space="0" w:color="auto"/>
              <w:right w:val="single" w:sz="8" w:space="0" w:color="auto"/>
            </w:tcBorders>
            <w:vAlign w:val="center"/>
          </w:tcPr>
          <w:p w14:paraId="215D1F5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疗程满（月）</w:t>
            </w:r>
          </w:p>
        </w:tc>
      </w:tr>
      <w:tr w:rsidR="00A92794" w14:paraId="48DEEB70" w14:textId="77777777" w:rsidTr="00E07173">
        <w:trPr>
          <w:cantSplit/>
          <w:trHeight w:val="109"/>
          <w:jc w:val="center"/>
        </w:trPr>
        <w:tc>
          <w:tcPr>
            <w:tcW w:w="1007" w:type="dxa"/>
            <w:vMerge/>
            <w:tcBorders>
              <w:top w:val="single" w:sz="8" w:space="0" w:color="auto"/>
              <w:left w:val="single" w:sz="8" w:space="0" w:color="auto"/>
              <w:bottom w:val="single" w:sz="4" w:space="0" w:color="auto"/>
              <w:right w:val="single" w:sz="4" w:space="0" w:color="auto"/>
            </w:tcBorders>
            <w:vAlign w:val="center"/>
          </w:tcPr>
          <w:p w14:paraId="683BC1BA"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8" w:space="0" w:color="auto"/>
              <w:left w:val="single" w:sz="4" w:space="0" w:color="auto"/>
              <w:bottom w:val="single" w:sz="4" w:space="0" w:color="auto"/>
              <w:right w:val="single" w:sz="4" w:space="0" w:color="auto"/>
            </w:tcBorders>
            <w:vAlign w:val="center"/>
          </w:tcPr>
          <w:p w14:paraId="5783DCDA"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tcPr>
          <w:p w14:paraId="78BC80B1"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2A1FCE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疗前</w:t>
            </w:r>
          </w:p>
        </w:tc>
        <w:tc>
          <w:tcPr>
            <w:tcW w:w="426" w:type="dxa"/>
            <w:tcBorders>
              <w:top w:val="single" w:sz="4" w:space="0" w:color="auto"/>
              <w:left w:val="single" w:sz="4" w:space="0" w:color="auto"/>
              <w:bottom w:val="single" w:sz="4" w:space="0" w:color="auto"/>
              <w:right w:val="single" w:sz="4" w:space="0" w:color="auto"/>
            </w:tcBorders>
            <w:vAlign w:val="center"/>
          </w:tcPr>
          <w:p w14:paraId="4B70652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14:paraId="31E5D31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58E053ED"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31008FE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7D9C69F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9A8158"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6</w:t>
            </w:r>
          </w:p>
          <w:p w14:paraId="666111F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（或疗程末）</w:t>
            </w:r>
          </w:p>
        </w:tc>
        <w:tc>
          <w:tcPr>
            <w:tcW w:w="567" w:type="dxa"/>
            <w:tcBorders>
              <w:top w:val="single" w:sz="4" w:space="0" w:color="auto"/>
              <w:left w:val="single" w:sz="4" w:space="0" w:color="auto"/>
              <w:bottom w:val="single" w:sz="4" w:space="0" w:color="auto"/>
              <w:right w:val="single" w:sz="4" w:space="0" w:color="auto"/>
            </w:tcBorders>
            <w:vAlign w:val="center"/>
          </w:tcPr>
          <w:p w14:paraId="34FB1A75"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7</w:t>
            </w:r>
          </w:p>
        </w:tc>
        <w:tc>
          <w:tcPr>
            <w:tcW w:w="1134" w:type="dxa"/>
            <w:tcBorders>
              <w:top w:val="single" w:sz="4" w:space="0" w:color="auto"/>
              <w:left w:val="single" w:sz="4" w:space="0" w:color="auto"/>
              <w:bottom w:val="single" w:sz="4" w:space="0" w:color="auto"/>
              <w:right w:val="single" w:sz="8" w:space="0" w:color="auto"/>
            </w:tcBorders>
            <w:vAlign w:val="center"/>
          </w:tcPr>
          <w:p w14:paraId="2032B94C"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8</w:t>
            </w:r>
          </w:p>
          <w:p w14:paraId="54FB5454"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（或疗程末）</w:t>
            </w:r>
          </w:p>
        </w:tc>
      </w:tr>
      <w:tr w:rsidR="00A92794" w14:paraId="15BD4EFF" w14:textId="77777777" w:rsidTr="00E07173">
        <w:trPr>
          <w:cantSplit/>
          <w:trHeight w:val="145"/>
          <w:jc w:val="center"/>
        </w:trPr>
        <w:tc>
          <w:tcPr>
            <w:tcW w:w="1007" w:type="dxa"/>
            <w:vMerge w:val="restart"/>
            <w:tcBorders>
              <w:top w:val="single" w:sz="4" w:space="0" w:color="auto"/>
              <w:left w:val="single" w:sz="8" w:space="0" w:color="auto"/>
              <w:bottom w:val="single" w:sz="4" w:space="0" w:color="auto"/>
              <w:right w:val="single" w:sz="4" w:space="0" w:color="auto"/>
            </w:tcBorders>
            <w:vAlign w:val="center"/>
          </w:tcPr>
          <w:p w14:paraId="2AFB081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病原学阳性</w:t>
            </w:r>
          </w:p>
          <w:p w14:paraId="7B735E55"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肺结核</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14:paraId="13F6D140"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初治</w:t>
            </w:r>
          </w:p>
        </w:tc>
        <w:tc>
          <w:tcPr>
            <w:tcW w:w="851" w:type="dxa"/>
            <w:tcBorders>
              <w:top w:val="single" w:sz="4" w:space="0" w:color="auto"/>
              <w:left w:val="single" w:sz="4" w:space="0" w:color="auto"/>
              <w:bottom w:val="single" w:sz="4" w:space="0" w:color="auto"/>
              <w:right w:val="single" w:sz="4" w:space="0" w:color="auto"/>
            </w:tcBorders>
            <w:vAlign w:val="center"/>
          </w:tcPr>
          <w:p w14:paraId="7EC64D2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痰检</w:t>
            </w:r>
          </w:p>
        </w:tc>
        <w:tc>
          <w:tcPr>
            <w:tcW w:w="708" w:type="dxa"/>
            <w:tcBorders>
              <w:top w:val="single" w:sz="4" w:space="0" w:color="auto"/>
              <w:left w:val="single" w:sz="4" w:space="0" w:color="auto"/>
              <w:bottom w:val="single" w:sz="4" w:space="0" w:color="auto"/>
              <w:right w:val="single" w:sz="4" w:space="0" w:color="auto"/>
            </w:tcBorders>
            <w:vAlign w:val="center"/>
          </w:tcPr>
          <w:p w14:paraId="188AC74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3S+2C</w:t>
            </w:r>
          </w:p>
        </w:tc>
        <w:tc>
          <w:tcPr>
            <w:tcW w:w="426" w:type="dxa"/>
            <w:tcBorders>
              <w:top w:val="single" w:sz="4" w:space="0" w:color="auto"/>
              <w:left w:val="single" w:sz="4" w:space="0" w:color="auto"/>
              <w:bottom w:val="single" w:sz="4" w:space="0" w:color="auto"/>
              <w:right w:val="single" w:sz="4" w:space="0" w:color="auto"/>
            </w:tcBorders>
            <w:vAlign w:val="center"/>
          </w:tcPr>
          <w:p w14:paraId="1F0AECA5"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1253C3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2S+1C</w:t>
            </w:r>
          </w:p>
        </w:tc>
        <w:tc>
          <w:tcPr>
            <w:tcW w:w="567" w:type="dxa"/>
            <w:tcBorders>
              <w:top w:val="single" w:sz="4" w:space="0" w:color="auto"/>
              <w:left w:val="single" w:sz="4" w:space="0" w:color="auto"/>
              <w:bottom w:val="single" w:sz="4" w:space="0" w:color="auto"/>
              <w:right w:val="single" w:sz="4" w:space="0" w:color="auto"/>
            </w:tcBorders>
            <w:vAlign w:val="center"/>
          </w:tcPr>
          <w:p w14:paraId="0C843F16"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c>
          <w:tcPr>
            <w:tcW w:w="567" w:type="dxa"/>
            <w:tcBorders>
              <w:top w:val="single" w:sz="4" w:space="0" w:color="auto"/>
              <w:left w:val="single" w:sz="4" w:space="0" w:color="auto"/>
              <w:bottom w:val="single" w:sz="4" w:space="0" w:color="auto"/>
              <w:right w:val="single" w:sz="4" w:space="0" w:color="auto"/>
            </w:tcBorders>
            <w:vAlign w:val="center"/>
          </w:tcPr>
          <w:p w14:paraId="4874E37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7465116"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2S+1C</w:t>
            </w:r>
          </w:p>
        </w:tc>
        <w:tc>
          <w:tcPr>
            <w:tcW w:w="1134" w:type="dxa"/>
            <w:tcBorders>
              <w:top w:val="single" w:sz="4" w:space="0" w:color="auto"/>
              <w:left w:val="single" w:sz="4" w:space="0" w:color="auto"/>
              <w:bottom w:val="single" w:sz="4" w:space="0" w:color="auto"/>
              <w:right w:val="single" w:sz="4" w:space="0" w:color="auto"/>
            </w:tcBorders>
            <w:vAlign w:val="center"/>
          </w:tcPr>
          <w:p w14:paraId="6FA191D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c>
          <w:tcPr>
            <w:tcW w:w="567" w:type="dxa"/>
            <w:tcBorders>
              <w:top w:val="single" w:sz="4" w:space="0" w:color="auto"/>
              <w:left w:val="single" w:sz="4" w:space="0" w:color="auto"/>
              <w:bottom w:val="single" w:sz="4" w:space="0" w:color="auto"/>
              <w:right w:val="single" w:sz="4" w:space="0" w:color="auto"/>
            </w:tcBorders>
            <w:vAlign w:val="center"/>
          </w:tcPr>
          <w:p w14:paraId="246568BC"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616FB69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r>
      <w:tr w:rsidR="00A92794" w14:paraId="308DA70E" w14:textId="77777777" w:rsidTr="00E07173">
        <w:trPr>
          <w:cantSplit/>
          <w:trHeight w:val="25"/>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1A8C5BB0"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15A63A9E"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23846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X线</w:t>
            </w:r>
          </w:p>
        </w:tc>
        <w:tc>
          <w:tcPr>
            <w:tcW w:w="708" w:type="dxa"/>
            <w:tcBorders>
              <w:top w:val="single" w:sz="4" w:space="0" w:color="auto"/>
              <w:left w:val="single" w:sz="4" w:space="0" w:color="auto"/>
              <w:bottom w:val="single" w:sz="4" w:space="0" w:color="auto"/>
              <w:right w:val="single" w:sz="4" w:space="0" w:color="auto"/>
            </w:tcBorders>
            <w:vAlign w:val="center"/>
          </w:tcPr>
          <w:p w14:paraId="5E9B6EC8"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426" w:type="dxa"/>
            <w:tcBorders>
              <w:top w:val="single" w:sz="4" w:space="0" w:color="auto"/>
              <w:left w:val="single" w:sz="4" w:space="0" w:color="auto"/>
              <w:bottom w:val="single" w:sz="4" w:space="0" w:color="auto"/>
              <w:right w:val="single" w:sz="4" w:space="0" w:color="auto"/>
            </w:tcBorders>
            <w:vAlign w:val="center"/>
          </w:tcPr>
          <w:p w14:paraId="0BF5E92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3FEC96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567" w:type="dxa"/>
            <w:tcBorders>
              <w:top w:val="single" w:sz="4" w:space="0" w:color="auto"/>
              <w:left w:val="single" w:sz="4" w:space="0" w:color="auto"/>
              <w:bottom w:val="single" w:sz="4" w:space="0" w:color="auto"/>
              <w:right w:val="single" w:sz="4" w:space="0" w:color="auto"/>
            </w:tcBorders>
            <w:vAlign w:val="center"/>
          </w:tcPr>
          <w:p w14:paraId="108213EC"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42F68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8F9C42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E633A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567" w:type="dxa"/>
            <w:tcBorders>
              <w:top w:val="single" w:sz="4" w:space="0" w:color="auto"/>
              <w:left w:val="single" w:sz="4" w:space="0" w:color="auto"/>
              <w:bottom w:val="single" w:sz="4" w:space="0" w:color="auto"/>
              <w:right w:val="single" w:sz="4" w:space="0" w:color="auto"/>
            </w:tcBorders>
            <w:vAlign w:val="center"/>
          </w:tcPr>
          <w:p w14:paraId="0A596033"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21CC2AA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r>
      <w:tr w:rsidR="00A92794" w14:paraId="365F94B9" w14:textId="77777777" w:rsidTr="00E07173">
        <w:trPr>
          <w:cantSplit/>
          <w:trHeight w:val="225"/>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454EA21F"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74AE5786"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60AED5"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肝肾功能</w:t>
            </w:r>
          </w:p>
        </w:tc>
        <w:tc>
          <w:tcPr>
            <w:tcW w:w="6520" w:type="dxa"/>
            <w:gridSpan w:val="9"/>
            <w:tcBorders>
              <w:top w:val="single" w:sz="4" w:space="0" w:color="auto"/>
              <w:left w:val="single" w:sz="4" w:space="0" w:color="auto"/>
              <w:bottom w:val="single" w:sz="4" w:space="0" w:color="auto"/>
              <w:right w:val="single" w:sz="8" w:space="0" w:color="auto"/>
            </w:tcBorders>
            <w:vAlign w:val="center"/>
          </w:tcPr>
          <w:p w14:paraId="1B2004A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每月至少1次</w:t>
            </w:r>
          </w:p>
        </w:tc>
      </w:tr>
      <w:tr w:rsidR="00A92794" w14:paraId="77CD2D4F" w14:textId="77777777" w:rsidTr="00E07173">
        <w:trPr>
          <w:cantSplit/>
          <w:trHeight w:val="122"/>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0BD94212"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28C85D3F"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9ADEFE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核酸检测</w:t>
            </w:r>
          </w:p>
        </w:tc>
        <w:tc>
          <w:tcPr>
            <w:tcW w:w="708" w:type="dxa"/>
            <w:tcBorders>
              <w:top w:val="single" w:sz="4" w:space="0" w:color="auto"/>
              <w:left w:val="single" w:sz="4" w:space="0" w:color="auto"/>
              <w:bottom w:val="single" w:sz="4" w:space="0" w:color="auto"/>
              <w:right w:val="single" w:sz="4" w:space="0" w:color="auto"/>
            </w:tcBorders>
            <w:vAlign w:val="center"/>
          </w:tcPr>
          <w:p w14:paraId="10D99610"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1次</w:t>
            </w:r>
          </w:p>
        </w:tc>
        <w:tc>
          <w:tcPr>
            <w:tcW w:w="5812" w:type="dxa"/>
            <w:gridSpan w:val="8"/>
            <w:tcBorders>
              <w:top w:val="single" w:sz="4" w:space="0" w:color="auto"/>
              <w:left w:val="single" w:sz="4" w:space="0" w:color="auto"/>
              <w:bottom w:val="single" w:sz="4" w:space="0" w:color="auto"/>
              <w:right w:val="single" w:sz="8" w:space="0" w:color="auto"/>
            </w:tcBorders>
            <w:vAlign w:val="center"/>
          </w:tcPr>
          <w:p w14:paraId="065EA42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2月及以上随诊查痰涂片阳性可再做1次</w:t>
            </w:r>
          </w:p>
        </w:tc>
      </w:tr>
      <w:tr w:rsidR="00A92794" w14:paraId="1247D2B2" w14:textId="77777777" w:rsidTr="00E07173">
        <w:trPr>
          <w:cantSplit/>
          <w:trHeight w:val="35"/>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15501D2C"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val="restart"/>
            <w:tcBorders>
              <w:top w:val="single" w:sz="4" w:space="0" w:color="auto"/>
              <w:left w:val="single" w:sz="4" w:space="0" w:color="auto"/>
              <w:bottom w:val="single" w:sz="4" w:space="0" w:color="auto"/>
              <w:right w:val="single" w:sz="4" w:space="0" w:color="auto"/>
            </w:tcBorders>
            <w:vAlign w:val="center"/>
          </w:tcPr>
          <w:p w14:paraId="3D7BE2F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复治</w:t>
            </w:r>
          </w:p>
        </w:tc>
        <w:tc>
          <w:tcPr>
            <w:tcW w:w="851" w:type="dxa"/>
            <w:tcBorders>
              <w:top w:val="single" w:sz="4" w:space="0" w:color="auto"/>
              <w:left w:val="single" w:sz="4" w:space="0" w:color="auto"/>
              <w:bottom w:val="single" w:sz="4" w:space="0" w:color="auto"/>
              <w:right w:val="single" w:sz="4" w:space="0" w:color="auto"/>
            </w:tcBorders>
            <w:vAlign w:val="center"/>
          </w:tcPr>
          <w:p w14:paraId="54C02B73"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痰检</w:t>
            </w:r>
          </w:p>
        </w:tc>
        <w:tc>
          <w:tcPr>
            <w:tcW w:w="708" w:type="dxa"/>
            <w:tcBorders>
              <w:top w:val="single" w:sz="4" w:space="0" w:color="auto"/>
              <w:left w:val="single" w:sz="4" w:space="0" w:color="auto"/>
              <w:bottom w:val="single" w:sz="4" w:space="0" w:color="auto"/>
              <w:right w:val="single" w:sz="4" w:space="0" w:color="auto"/>
            </w:tcBorders>
            <w:vAlign w:val="center"/>
          </w:tcPr>
          <w:p w14:paraId="6B4FBA4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3S+2C</w:t>
            </w:r>
          </w:p>
        </w:tc>
        <w:tc>
          <w:tcPr>
            <w:tcW w:w="426" w:type="dxa"/>
            <w:tcBorders>
              <w:top w:val="single" w:sz="4" w:space="0" w:color="auto"/>
              <w:left w:val="single" w:sz="4" w:space="0" w:color="auto"/>
              <w:bottom w:val="single" w:sz="4" w:space="0" w:color="auto"/>
              <w:right w:val="single" w:sz="4" w:space="0" w:color="auto"/>
            </w:tcBorders>
            <w:vAlign w:val="center"/>
          </w:tcPr>
          <w:p w14:paraId="6CAB593D"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48B72C6"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2S+1C</w:t>
            </w:r>
          </w:p>
        </w:tc>
        <w:tc>
          <w:tcPr>
            <w:tcW w:w="567" w:type="dxa"/>
            <w:tcBorders>
              <w:top w:val="single" w:sz="4" w:space="0" w:color="auto"/>
              <w:left w:val="single" w:sz="4" w:space="0" w:color="auto"/>
              <w:bottom w:val="single" w:sz="4" w:space="0" w:color="auto"/>
              <w:right w:val="single" w:sz="4" w:space="0" w:color="auto"/>
            </w:tcBorders>
            <w:vAlign w:val="center"/>
          </w:tcPr>
          <w:p w14:paraId="74BEC1E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c>
          <w:tcPr>
            <w:tcW w:w="567" w:type="dxa"/>
            <w:tcBorders>
              <w:top w:val="single" w:sz="4" w:space="0" w:color="auto"/>
              <w:left w:val="single" w:sz="4" w:space="0" w:color="auto"/>
              <w:bottom w:val="single" w:sz="4" w:space="0" w:color="auto"/>
              <w:right w:val="single" w:sz="4" w:space="0" w:color="auto"/>
            </w:tcBorders>
            <w:vAlign w:val="center"/>
          </w:tcPr>
          <w:p w14:paraId="5521F96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691A9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2S+1C</w:t>
            </w:r>
          </w:p>
        </w:tc>
        <w:tc>
          <w:tcPr>
            <w:tcW w:w="1134" w:type="dxa"/>
            <w:tcBorders>
              <w:top w:val="single" w:sz="4" w:space="0" w:color="auto"/>
              <w:left w:val="single" w:sz="4" w:space="0" w:color="auto"/>
              <w:bottom w:val="single" w:sz="4" w:space="0" w:color="auto"/>
              <w:right w:val="single" w:sz="4" w:space="0" w:color="auto"/>
            </w:tcBorders>
            <w:vAlign w:val="center"/>
          </w:tcPr>
          <w:p w14:paraId="422ED61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D8477D"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193B480D"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r>
      <w:tr w:rsidR="00A92794" w14:paraId="1ABFB083" w14:textId="77777777" w:rsidTr="00E07173">
        <w:trPr>
          <w:cantSplit/>
          <w:trHeight w:val="239"/>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686AC470"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62FEEB5B"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97E6C3"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X线</w:t>
            </w:r>
          </w:p>
        </w:tc>
        <w:tc>
          <w:tcPr>
            <w:tcW w:w="708" w:type="dxa"/>
            <w:tcBorders>
              <w:top w:val="single" w:sz="4" w:space="0" w:color="auto"/>
              <w:left w:val="single" w:sz="4" w:space="0" w:color="auto"/>
              <w:bottom w:val="single" w:sz="4" w:space="0" w:color="auto"/>
              <w:right w:val="single" w:sz="4" w:space="0" w:color="auto"/>
            </w:tcBorders>
            <w:vAlign w:val="center"/>
          </w:tcPr>
          <w:p w14:paraId="267CA57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426" w:type="dxa"/>
            <w:tcBorders>
              <w:top w:val="single" w:sz="4" w:space="0" w:color="auto"/>
              <w:left w:val="single" w:sz="4" w:space="0" w:color="auto"/>
              <w:bottom w:val="single" w:sz="4" w:space="0" w:color="auto"/>
              <w:right w:val="single" w:sz="4" w:space="0" w:color="auto"/>
            </w:tcBorders>
            <w:vAlign w:val="center"/>
          </w:tcPr>
          <w:p w14:paraId="16E4FC9C"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9BBA47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567" w:type="dxa"/>
            <w:tcBorders>
              <w:top w:val="single" w:sz="4" w:space="0" w:color="auto"/>
              <w:left w:val="single" w:sz="4" w:space="0" w:color="auto"/>
              <w:bottom w:val="single" w:sz="4" w:space="0" w:color="auto"/>
              <w:right w:val="single" w:sz="4" w:space="0" w:color="auto"/>
            </w:tcBorders>
            <w:vAlign w:val="center"/>
          </w:tcPr>
          <w:p w14:paraId="5EA25BF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AF565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91381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222320"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0AA48C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4FB62BE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r>
      <w:tr w:rsidR="00A92794" w14:paraId="0286CAB4" w14:textId="77777777" w:rsidTr="00E07173">
        <w:trPr>
          <w:cantSplit/>
          <w:trHeight w:val="239"/>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46E358C6"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1AD16CD6"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491D7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肝肾功能</w:t>
            </w:r>
          </w:p>
        </w:tc>
        <w:tc>
          <w:tcPr>
            <w:tcW w:w="6520" w:type="dxa"/>
            <w:gridSpan w:val="9"/>
            <w:tcBorders>
              <w:top w:val="single" w:sz="4" w:space="0" w:color="auto"/>
              <w:left w:val="single" w:sz="4" w:space="0" w:color="auto"/>
              <w:bottom w:val="single" w:sz="4" w:space="0" w:color="auto"/>
              <w:right w:val="single" w:sz="8" w:space="0" w:color="auto"/>
            </w:tcBorders>
            <w:vAlign w:val="center"/>
          </w:tcPr>
          <w:p w14:paraId="62FC424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每月至少1次</w:t>
            </w:r>
          </w:p>
        </w:tc>
      </w:tr>
      <w:tr w:rsidR="00A92794" w14:paraId="463A6400" w14:textId="77777777" w:rsidTr="00E07173">
        <w:trPr>
          <w:cantSplit/>
          <w:trHeight w:val="158"/>
          <w:jc w:val="center"/>
        </w:trPr>
        <w:tc>
          <w:tcPr>
            <w:tcW w:w="1007" w:type="dxa"/>
            <w:vMerge/>
            <w:tcBorders>
              <w:top w:val="single" w:sz="4" w:space="0" w:color="auto"/>
              <w:left w:val="single" w:sz="8" w:space="0" w:color="auto"/>
              <w:bottom w:val="single" w:sz="4" w:space="0" w:color="auto"/>
              <w:right w:val="single" w:sz="4" w:space="0" w:color="auto"/>
            </w:tcBorders>
            <w:vAlign w:val="center"/>
          </w:tcPr>
          <w:p w14:paraId="081AFE03"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tcPr>
          <w:p w14:paraId="0E8F696D"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CC24C6"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核酸检测</w:t>
            </w:r>
          </w:p>
        </w:tc>
        <w:tc>
          <w:tcPr>
            <w:tcW w:w="708" w:type="dxa"/>
            <w:tcBorders>
              <w:top w:val="single" w:sz="4" w:space="0" w:color="auto"/>
              <w:left w:val="single" w:sz="4" w:space="0" w:color="auto"/>
              <w:bottom w:val="single" w:sz="4" w:space="0" w:color="auto"/>
              <w:right w:val="single" w:sz="4" w:space="0" w:color="auto"/>
            </w:tcBorders>
            <w:vAlign w:val="center"/>
          </w:tcPr>
          <w:p w14:paraId="68AB94A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1次</w:t>
            </w:r>
          </w:p>
        </w:tc>
        <w:tc>
          <w:tcPr>
            <w:tcW w:w="5812" w:type="dxa"/>
            <w:gridSpan w:val="8"/>
            <w:tcBorders>
              <w:top w:val="single" w:sz="4" w:space="0" w:color="auto"/>
              <w:left w:val="single" w:sz="4" w:space="0" w:color="auto"/>
              <w:bottom w:val="single" w:sz="4" w:space="0" w:color="auto"/>
              <w:right w:val="single" w:sz="8" w:space="0" w:color="auto"/>
            </w:tcBorders>
            <w:vAlign w:val="center"/>
          </w:tcPr>
          <w:p w14:paraId="1972051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2月及以上随诊查痰涂片阳性可再做1次</w:t>
            </w:r>
          </w:p>
        </w:tc>
      </w:tr>
      <w:tr w:rsidR="00A92794" w14:paraId="4F7806B4" w14:textId="77777777" w:rsidTr="00E07173">
        <w:trPr>
          <w:cantSplit/>
          <w:trHeight w:val="93"/>
          <w:jc w:val="center"/>
        </w:trPr>
        <w:tc>
          <w:tcPr>
            <w:tcW w:w="1007" w:type="dxa"/>
            <w:vMerge w:val="restart"/>
            <w:tcBorders>
              <w:top w:val="single" w:sz="4" w:space="0" w:color="auto"/>
              <w:left w:val="single" w:sz="8" w:space="0" w:color="auto"/>
              <w:bottom w:val="single" w:sz="8" w:space="0" w:color="auto"/>
              <w:right w:val="single" w:sz="4" w:space="0" w:color="auto"/>
            </w:tcBorders>
            <w:vAlign w:val="center"/>
          </w:tcPr>
          <w:p w14:paraId="491B3E9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病原学阴性肺结核</w:t>
            </w:r>
          </w:p>
        </w:tc>
        <w:tc>
          <w:tcPr>
            <w:tcW w:w="677" w:type="dxa"/>
            <w:vMerge w:val="restart"/>
            <w:tcBorders>
              <w:top w:val="single" w:sz="4" w:space="0" w:color="auto"/>
              <w:left w:val="single" w:sz="4" w:space="0" w:color="auto"/>
              <w:bottom w:val="single" w:sz="8" w:space="0" w:color="auto"/>
              <w:right w:val="single" w:sz="4" w:space="0" w:color="auto"/>
            </w:tcBorders>
            <w:vAlign w:val="center"/>
          </w:tcPr>
          <w:p w14:paraId="353E45C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初治</w:t>
            </w:r>
          </w:p>
        </w:tc>
        <w:tc>
          <w:tcPr>
            <w:tcW w:w="851" w:type="dxa"/>
            <w:tcBorders>
              <w:top w:val="single" w:sz="4" w:space="0" w:color="auto"/>
              <w:left w:val="single" w:sz="4" w:space="0" w:color="auto"/>
              <w:bottom w:val="single" w:sz="4" w:space="0" w:color="auto"/>
              <w:right w:val="single" w:sz="4" w:space="0" w:color="auto"/>
            </w:tcBorders>
            <w:vAlign w:val="center"/>
          </w:tcPr>
          <w:p w14:paraId="3108ED3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痰检</w:t>
            </w:r>
          </w:p>
        </w:tc>
        <w:tc>
          <w:tcPr>
            <w:tcW w:w="708" w:type="dxa"/>
            <w:tcBorders>
              <w:top w:val="single" w:sz="4" w:space="0" w:color="auto"/>
              <w:left w:val="single" w:sz="4" w:space="0" w:color="auto"/>
              <w:bottom w:val="single" w:sz="4" w:space="0" w:color="auto"/>
              <w:right w:val="single" w:sz="4" w:space="0" w:color="auto"/>
            </w:tcBorders>
            <w:vAlign w:val="center"/>
          </w:tcPr>
          <w:p w14:paraId="3E804638"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3S+2C</w:t>
            </w:r>
          </w:p>
        </w:tc>
        <w:tc>
          <w:tcPr>
            <w:tcW w:w="426" w:type="dxa"/>
            <w:tcBorders>
              <w:top w:val="single" w:sz="4" w:space="0" w:color="auto"/>
              <w:left w:val="single" w:sz="4" w:space="0" w:color="auto"/>
              <w:bottom w:val="single" w:sz="4" w:space="0" w:color="auto"/>
              <w:right w:val="single" w:sz="4" w:space="0" w:color="auto"/>
            </w:tcBorders>
            <w:vAlign w:val="center"/>
          </w:tcPr>
          <w:p w14:paraId="5A12AEE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9CBD418"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2S+1C</w:t>
            </w:r>
          </w:p>
        </w:tc>
        <w:tc>
          <w:tcPr>
            <w:tcW w:w="567" w:type="dxa"/>
            <w:tcBorders>
              <w:top w:val="single" w:sz="4" w:space="0" w:color="auto"/>
              <w:left w:val="single" w:sz="4" w:space="0" w:color="auto"/>
              <w:bottom w:val="single" w:sz="4" w:space="0" w:color="auto"/>
              <w:right w:val="single" w:sz="4" w:space="0" w:color="auto"/>
            </w:tcBorders>
            <w:vAlign w:val="center"/>
          </w:tcPr>
          <w:p w14:paraId="3B9454D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48797D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D8135B"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c>
          <w:tcPr>
            <w:tcW w:w="1134" w:type="dxa"/>
            <w:tcBorders>
              <w:top w:val="single" w:sz="4" w:space="0" w:color="auto"/>
              <w:left w:val="single" w:sz="4" w:space="0" w:color="auto"/>
              <w:bottom w:val="single" w:sz="4" w:space="0" w:color="auto"/>
              <w:right w:val="single" w:sz="4" w:space="0" w:color="auto"/>
            </w:tcBorders>
            <w:vAlign w:val="center"/>
          </w:tcPr>
          <w:p w14:paraId="1C6B492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2S</w:t>
            </w:r>
          </w:p>
        </w:tc>
        <w:tc>
          <w:tcPr>
            <w:tcW w:w="567" w:type="dxa"/>
            <w:tcBorders>
              <w:top w:val="single" w:sz="4" w:space="0" w:color="auto"/>
              <w:left w:val="single" w:sz="4" w:space="0" w:color="auto"/>
              <w:bottom w:val="single" w:sz="4" w:space="0" w:color="auto"/>
              <w:right w:val="single" w:sz="4" w:space="0" w:color="auto"/>
            </w:tcBorders>
            <w:vAlign w:val="center"/>
          </w:tcPr>
          <w:p w14:paraId="5AE20E65"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2D4F1F7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r>
      <w:tr w:rsidR="00A92794" w14:paraId="6BDE9084" w14:textId="77777777" w:rsidTr="00E07173">
        <w:trPr>
          <w:cantSplit/>
          <w:trHeight w:val="96"/>
          <w:jc w:val="center"/>
        </w:trPr>
        <w:tc>
          <w:tcPr>
            <w:tcW w:w="1007" w:type="dxa"/>
            <w:vMerge/>
            <w:tcBorders>
              <w:top w:val="single" w:sz="4" w:space="0" w:color="auto"/>
              <w:left w:val="single" w:sz="8" w:space="0" w:color="auto"/>
              <w:bottom w:val="single" w:sz="8" w:space="0" w:color="auto"/>
              <w:right w:val="single" w:sz="4" w:space="0" w:color="auto"/>
            </w:tcBorders>
            <w:vAlign w:val="center"/>
          </w:tcPr>
          <w:p w14:paraId="4AA610BD"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8" w:space="0" w:color="auto"/>
              <w:right w:val="single" w:sz="4" w:space="0" w:color="auto"/>
            </w:tcBorders>
            <w:vAlign w:val="center"/>
          </w:tcPr>
          <w:p w14:paraId="5FDD0B55"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08B29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X线</w:t>
            </w:r>
          </w:p>
        </w:tc>
        <w:tc>
          <w:tcPr>
            <w:tcW w:w="708" w:type="dxa"/>
            <w:tcBorders>
              <w:top w:val="single" w:sz="4" w:space="0" w:color="auto"/>
              <w:left w:val="single" w:sz="4" w:space="0" w:color="auto"/>
              <w:bottom w:val="single" w:sz="4" w:space="0" w:color="auto"/>
              <w:right w:val="single" w:sz="4" w:space="0" w:color="auto"/>
            </w:tcBorders>
            <w:vAlign w:val="center"/>
          </w:tcPr>
          <w:p w14:paraId="6EB733B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426" w:type="dxa"/>
            <w:tcBorders>
              <w:top w:val="single" w:sz="4" w:space="0" w:color="auto"/>
              <w:left w:val="single" w:sz="4" w:space="0" w:color="auto"/>
              <w:bottom w:val="single" w:sz="4" w:space="0" w:color="auto"/>
              <w:right w:val="single" w:sz="4" w:space="0" w:color="auto"/>
            </w:tcBorders>
            <w:vAlign w:val="center"/>
          </w:tcPr>
          <w:p w14:paraId="05483240"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DBC8669"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567" w:type="dxa"/>
            <w:tcBorders>
              <w:top w:val="single" w:sz="4" w:space="0" w:color="auto"/>
              <w:left w:val="single" w:sz="4" w:space="0" w:color="auto"/>
              <w:bottom w:val="single" w:sz="4" w:space="0" w:color="auto"/>
              <w:right w:val="single" w:sz="4" w:space="0" w:color="auto"/>
            </w:tcBorders>
            <w:vAlign w:val="center"/>
          </w:tcPr>
          <w:p w14:paraId="047D36BA"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A9231C"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B4C316"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ACFBA2"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后前位</w:t>
            </w:r>
          </w:p>
        </w:tc>
        <w:tc>
          <w:tcPr>
            <w:tcW w:w="567" w:type="dxa"/>
            <w:tcBorders>
              <w:top w:val="single" w:sz="4" w:space="0" w:color="auto"/>
              <w:left w:val="single" w:sz="4" w:space="0" w:color="auto"/>
              <w:bottom w:val="single" w:sz="4" w:space="0" w:color="auto"/>
              <w:right w:val="single" w:sz="4" w:space="0" w:color="auto"/>
            </w:tcBorders>
            <w:vAlign w:val="center"/>
          </w:tcPr>
          <w:p w14:paraId="393E4B1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25D4B2DD"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r>
      <w:tr w:rsidR="00A92794" w14:paraId="18B471E6" w14:textId="77777777" w:rsidTr="00E07173">
        <w:trPr>
          <w:cantSplit/>
          <w:trHeight w:val="96"/>
          <w:jc w:val="center"/>
        </w:trPr>
        <w:tc>
          <w:tcPr>
            <w:tcW w:w="1007" w:type="dxa"/>
            <w:vMerge/>
            <w:tcBorders>
              <w:top w:val="single" w:sz="4" w:space="0" w:color="auto"/>
              <w:left w:val="single" w:sz="8" w:space="0" w:color="auto"/>
              <w:bottom w:val="single" w:sz="8" w:space="0" w:color="auto"/>
              <w:right w:val="single" w:sz="4" w:space="0" w:color="auto"/>
            </w:tcBorders>
            <w:vAlign w:val="center"/>
          </w:tcPr>
          <w:p w14:paraId="545AF5B0"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8" w:space="0" w:color="auto"/>
              <w:right w:val="single" w:sz="4" w:space="0" w:color="auto"/>
            </w:tcBorders>
            <w:vAlign w:val="center"/>
          </w:tcPr>
          <w:p w14:paraId="409043C5"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84A671"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肝肾功能</w:t>
            </w:r>
          </w:p>
        </w:tc>
        <w:tc>
          <w:tcPr>
            <w:tcW w:w="6520" w:type="dxa"/>
            <w:gridSpan w:val="9"/>
            <w:tcBorders>
              <w:top w:val="single" w:sz="4" w:space="0" w:color="auto"/>
              <w:left w:val="single" w:sz="4" w:space="0" w:color="auto"/>
              <w:bottom w:val="single" w:sz="4" w:space="0" w:color="auto"/>
              <w:right w:val="single" w:sz="8" w:space="0" w:color="auto"/>
            </w:tcBorders>
            <w:vAlign w:val="center"/>
          </w:tcPr>
          <w:p w14:paraId="70F240FF"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每月至少1次</w:t>
            </w:r>
          </w:p>
        </w:tc>
      </w:tr>
      <w:tr w:rsidR="00A92794" w14:paraId="54C10BF4" w14:textId="77777777" w:rsidTr="00E07173">
        <w:trPr>
          <w:cantSplit/>
          <w:trHeight w:val="20"/>
          <w:jc w:val="center"/>
        </w:trPr>
        <w:tc>
          <w:tcPr>
            <w:tcW w:w="1007" w:type="dxa"/>
            <w:vMerge/>
            <w:tcBorders>
              <w:top w:val="single" w:sz="4" w:space="0" w:color="auto"/>
              <w:left w:val="single" w:sz="8" w:space="0" w:color="auto"/>
              <w:bottom w:val="single" w:sz="8" w:space="0" w:color="auto"/>
              <w:right w:val="single" w:sz="4" w:space="0" w:color="auto"/>
            </w:tcBorders>
            <w:vAlign w:val="center"/>
          </w:tcPr>
          <w:p w14:paraId="5D823063"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677" w:type="dxa"/>
            <w:vMerge/>
            <w:tcBorders>
              <w:top w:val="single" w:sz="4" w:space="0" w:color="auto"/>
              <w:left w:val="single" w:sz="4" w:space="0" w:color="auto"/>
              <w:bottom w:val="single" w:sz="8" w:space="0" w:color="auto"/>
              <w:right w:val="single" w:sz="4" w:space="0" w:color="auto"/>
            </w:tcBorders>
            <w:vAlign w:val="center"/>
          </w:tcPr>
          <w:p w14:paraId="668729C4" w14:textId="77777777" w:rsidR="00A92794" w:rsidRDefault="00A92794" w:rsidP="00E07173">
            <w:pPr>
              <w:widowControl/>
              <w:snapToGrid w:val="0"/>
              <w:spacing w:line="360" w:lineRule="auto"/>
              <w:jc w:val="left"/>
              <w:rPr>
                <w:rFonts w:ascii="仿宋_GB2312" w:eastAsia="仿宋_GB2312" w:hAnsi="仿宋_GB2312" w:cs="仿宋_GB2312" w:hint="eastAsia"/>
                <w:sz w:val="18"/>
                <w:szCs w:val="18"/>
              </w:rPr>
            </w:pPr>
          </w:p>
        </w:tc>
        <w:tc>
          <w:tcPr>
            <w:tcW w:w="851" w:type="dxa"/>
            <w:tcBorders>
              <w:top w:val="single" w:sz="4" w:space="0" w:color="auto"/>
              <w:left w:val="single" w:sz="4" w:space="0" w:color="auto"/>
              <w:bottom w:val="single" w:sz="8" w:space="0" w:color="auto"/>
              <w:right w:val="single" w:sz="4" w:space="0" w:color="auto"/>
            </w:tcBorders>
            <w:vAlign w:val="center"/>
          </w:tcPr>
          <w:p w14:paraId="6A5A424E"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核酸检测</w:t>
            </w:r>
          </w:p>
        </w:tc>
        <w:tc>
          <w:tcPr>
            <w:tcW w:w="708" w:type="dxa"/>
            <w:tcBorders>
              <w:top w:val="single" w:sz="4" w:space="0" w:color="auto"/>
              <w:left w:val="single" w:sz="4" w:space="0" w:color="auto"/>
              <w:bottom w:val="single" w:sz="8" w:space="0" w:color="auto"/>
              <w:right w:val="single" w:sz="4" w:space="0" w:color="auto"/>
            </w:tcBorders>
            <w:vAlign w:val="center"/>
          </w:tcPr>
          <w:p w14:paraId="23AE9F14"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1次</w:t>
            </w:r>
          </w:p>
        </w:tc>
        <w:tc>
          <w:tcPr>
            <w:tcW w:w="5812" w:type="dxa"/>
            <w:gridSpan w:val="8"/>
            <w:tcBorders>
              <w:top w:val="single" w:sz="4" w:space="0" w:color="auto"/>
              <w:left w:val="single" w:sz="4" w:space="0" w:color="auto"/>
              <w:bottom w:val="single" w:sz="8" w:space="0" w:color="auto"/>
              <w:right w:val="single" w:sz="8" w:space="0" w:color="auto"/>
            </w:tcBorders>
            <w:vAlign w:val="center"/>
          </w:tcPr>
          <w:p w14:paraId="7D197597" w14:textId="77777777" w:rsidR="00A92794" w:rsidRDefault="00A92794" w:rsidP="00E07173">
            <w:pPr>
              <w:adjustRightInd w:val="0"/>
              <w:snapToGrid w:val="0"/>
              <w:spacing w:line="360" w:lineRule="auto"/>
              <w:jc w:val="center"/>
              <w:rPr>
                <w:rFonts w:ascii="仿宋_GB2312" w:eastAsia="仿宋_GB2312" w:hAnsi="仿宋_GB2312" w:cs="仿宋_GB2312" w:hint="eastAsia"/>
                <w:sz w:val="18"/>
                <w:szCs w:val="18"/>
              </w:rPr>
            </w:pPr>
          </w:p>
        </w:tc>
      </w:tr>
    </w:tbl>
    <w:p w14:paraId="0CF47147"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（2）根据治疗情况及检查结果开具处方，每次开药量不应超过一个月。同时，接诊医生与患者预约下次复查日期，并在HIS系统中进行记录。</w:t>
      </w:r>
    </w:p>
    <w:p w14:paraId="18AA57E9"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（3）信息管理人员每天查询当天复诊患者诊疗信息，并将</w:t>
      </w:r>
      <w:r>
        <w:rPr>
          <w:rFonts w:ascii="仿宋_GB2312" w:eastAsia="仿宋_GB2312" w:hAnsi="仿宋_GB2312" w:cs="仿宋_GB2312" w:hint="eastAsia"/>
          <w:sz w:val="32"/>
          <w:szCs w:val="32"/>
        </w:rPr>
        <w:lastRenderedPageBreak/>
        <w:t>相应信息录入专报，同时录入“下次复查日期”（如HIS系统无记录，则按本次开药日期后推30天）。</w:t>
      </w:r>
    </w:p>
    <w:p w14:paraId="59FB3213" w14:textId="77777777" w:rsidR="00A92794" w:rsidRDefault="00A92794" w:rsidP="00A92794">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2.区级结防机构</w:t>
      </w:r>
    </w:p>
    <w:p w14:paraId="14BCF818"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区级结防机构工作人员每天浏览专报，对没有按时复诊的患者，应及时催访，必要时组织社区医务人员进行追访，保证患者规范治疗。</w:t>
      </w:r>
    </w:p>
    <w:p w14:paraId="3086677E" w14:textId="77777777" w:rsidR="00A92794" w:rsidRDefault="00A92794" w:rsidP="00A92794">
      <w:pPr>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3.社区卫生服务机构</w:t>
      </w:r>
    </w:p>
    <w:p w14:paraId="2F3D1E26"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（1）定期访视患者，并对其进行健康教育，督促患者按时服药。提醒患者按期到市级定点医院复诊及取药。</w:t>
      </w:r>
    </w:p>
    <w:p w14:paraId="56BA5552"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（2）对未按时复诊取药的患者进行催访，督促其及时就诊。对误期超过一周的患者进行现场追访，向区级结防机构反馈追访信息。</w:t>
      </w:r>
    </w:p>
    <w:p w14:paraId="45680980" w14:textId="77777777" w:rsidR="00A92794" w:rsidRDefault="00A92794" w:rsidP="00A9279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（六）完成疗程患者处理</w:t>
      </w:r>
    </w:p>
    <w:p w14:paraId="43413DC1" w14:textId="77777777" w:rsidR="00A92794" w:rsidRDefault="00A92794" w:rsidP="00A92794">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1.市级定点医院</w:t>
      </w:r>
    </w:p>
    <w:p w14:paraId="38EAEF2E"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定点医院医生在接诊患者时，应关注患者全部治疗过程。发现患者已经完成疗程时，应详细了解患者服药规律性、病情变化、痰菌检查结果以及胸片表现。对于使用标准化方案的患者，应及时进行转归判定；对于使用个体化方案的患者，应提交病例讨论判定治疗转归。信息管理人员及时将转归信息录入专报。</w:t>
      </w:r>
    </w:p>
    <w:p w14:paraId="27E677ED" w14:textId="77777777" w:rsidR="00A92794" w:rsidRDefault="00A92794" w:rsidP="00A92794">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2.区级结防机构</w:t>
      </w:r>
    </w:p>
    <w:p w14:paraId="4F938C20"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区级结防机构工作人员及时浏览专报，对停止治疗的患者，及时通知社区医务人员停止健康管理服务工作。对于超出既定疗程未停止治疗的患者，及时协调定点医院予以适当处置。</w:t>
      </w:r>
    </w:p>
    <w:p w14:paraId="6A7376F9" w14:textId="77777777" w:rsidR="00A92794" w:rsidRDefault="00A92794" w:rsidP="00A92794">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3.社区卫生服务机构</w:t>
      </w:r>
    </w:p>
    <w:p w14:paraId="6AA81601"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接到区级结防机构停止督导管理任务通知后，社区医务人员完成最后一次患者访视，完善相关记录，结束对患者的健康管理工作。</w:t>
      </w:r>
    </w:p>
    <w:p w14:paraId="4D61259D" w14:textId="77777777" w:rsidR="00A92794" w:rsidRDefault="00A92794" w:rsidP="00A92794">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（七）患者的跨区域管理</w:t>
      </w:r>
    </w:p>
    <w:p w14:paraId="22ECDE8A" w14:textId="77777777" w:rsidR="00A92794" w:rsidRDefault="00A92794" w:rsidP="00A92794">
      <w:pPr>
        <w:snapToGrid w:val="0"/>
        <w:spacing w:line="360" w:lineRule="auto"/>
        <w:ind w:firstLineChars="200" w:firstLine="640"/>
        <w:rPr>
          <w:sz w:val="28"/>
          <w:szCs w:val="28"/>
        </w:rPr>
      </w:pPr>
      <w:r>
        <w:rPr>
          <w:rFonts w:ascii="仿宋_GB2312" w:eastAsia="仿宋_GB2312" w:hAnsi="仿宋_GB2312" w:cs="仿宋_GB2312" w:hint="eastAsia"/>
          <w:sz w:val="32"/>
          <w:szCs w:val="32"/>
        </w:rPr>
        <w:t>已经在专报登记的肺结核患者，在治疗管理过程中转至其他定点医疗机构进行治疗时，由“首管理单位”结防机构联系转入地结防机构，落实跨区域治疗管理工作，同时协调市级定点医院在专报中办理跨区域治疗管理相关手续。</w:t>
      </w:r>
    </w:p>
    <w:p w14:paraId="74221A30" w14:textId="77777777" w:rsidR="00A92794" w:rsidRDefault="00A92794" w:rsidP="00A92794">
      <w:pPr>
        <w:widowControl/>
        <w:snapToGrid w:val="0"/>
        <w:spacing w:line="360" w:lineRule="auto"/>
        <w:ind w:firstLineChars="200" w:firstLine="562"/>
        <w:rPr>
          <w:b/>
          <w:kern w:val="0"/>
          <w:sz w:val="28"/>
          <w:szCs w:val="28"/>
        </w:rPr>
      </w:pPr>
    </w:p>
    <w:p w14:paraId="5B539D45" w14:textId="77777777" w:rsidR="00A92794" w:rsidRDefault="00A92794" w:rsidP="00A92794">
      <w:pPr>
        <w:widowControl/>
        <w:snapToGrid w:val="0"/>
        <w:spacing w:line="360"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kern w:val="0"/>
          <w:sz w:val="32"/>
          <w:szCs w:val="32"/>
        </w:rPr>
        <w:t xml:space="preserve">附件：1-1 </w:t>
      </w:r>
      <w:r>
        <w:rPr>
          <w:rFonts w:ascii="仿宋_GB2312" w:eastAsia="仿宋_GB2312" w:hAnsi="仿宋_GB2312" w:cs="仿宋_GB2312" w:hint="eastAsia"/>
          <w:bCs/>
          <w:sz w:val="32"/>
          <w:szCs w:val="32"/>
        </w:rPr>
        <w:t>市级定点医院收治肺结核患者系统管理工作流程</w:t>
      </w:r>
    </w:p>
    <w:p w14:paraId="31C54765" w14:textId="77777777" w:rsidR="00A92794" w:rsidRDefault="00A92794" w:rsidP="00A92794">
      <w:pPr>
        <w:widowControl/>
        <w:snapToGrid w:val="0"/>
        <w:spacing w:line="360"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及职责</w:t>
      </w:r>
    </w:p>
    <w:p w14:paraId="7850B3AC" w14:textId="77777777" w:rsidR="00A92794" w:rsidRDefault="00A92794" w:rsidP="00A92794">
      <w:pPr>
        <w:widowControl/>
        <w:snapToGrid w:val="0"/>
        <w:spacing w:line="360"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1-2 XX医院肺结核患者督导治疗告知书（模板）</w:t>
      </w:r>
    </w:p>
    <w:p w14:paraId="4B09C059" w14:textId="77777777" w:rsidR="00A92794" w:rsidRDefault="00A92794" w:rsidP="00A92794">
      <w:pPr>
        <w:widowControl/>
        <w:snapToGrid w:val="0"/>
        <w:spacing w:line="360" w:lineRule="auto"/>
        <w:ind w:firstLineChars="200" w:firstLine="640"/>
        <w:rPr>
          <w:rFonts w:ascii="方正小标宋简体" w:eastAsia="方正小标宋简体" w:hAnsi="方正小标宋简体" w:cs="方正小标宋简体"/>
          <w:bCs/>
          <w:sz w:val="36"/>
          <w:szCs w:val="36"/>
        </w:rPr>
      </w:pPr>
      <w:r>
        <w:rPr>
          <w:rFonts w:ascii="仿宋_GB2312" w:eastAsia="仿宋_GB2312" w:hAnsi="仿宋_GB2312" w:cs="仿宋_GB2312" w:hint="eastAsia"/>
          <w:bCs/>
          <w:sz w:val="32"/>
          <w:szCs w:val="32"/>
        </w:rPr>
        <w:t xml:space="preserve">     1-3 专报结核病患者病案信息内容</w:t>
      </w:r>
    </w:p>
    <w:p w14:paraId="502501B4" w14:textId="77777777" w:rsidR="00A92794" w:rsidRDefault="00A92794" w:rsidP="00A92794">
      <w:pPr>
        <w:widowControl/>
        <w:spacing w:line="560" w:lineRule="exact"/>
        <w:rPr>
          <w:rFonts w:ascii="仿宋_GB2312" w:eastAsia="仿宋_GB2312" w:hAnsi="仿宋_GB2312" w:cs="仿宋_GB2312" w:hint="eastAsia"/>
          <w:bCs/>
          <w:sz w:val="32"/>
          <w:szCs w:val="32"/>
        </w:rPr>
        <w:sectPr w:rsidR="00A92794">
          <w:headerReference w:type="default" r:id="rId6"/>
          <w:footerReference w:type="default" r:id="rId7"/>
          <w:pgSz w:w="11906" w:h="16838"/>
          <w:pgMar w:top="2098" w:right="1474" w:bottom="1984" w:left="1587" w:header="851" w:footer="1531" w:gutter="0"/>
          <w:pgNumType w:fmt="numberInDash"/>
          <w:cols w:space="720"/>
          <w:docGrid w:type="linesAndChars" w:linePitch="318"/>
        </w:sectPr>
      </w:pPr>
      <w:r>
        <w:rPr>
          <w:rFonts w:ascii="仿宋_GB2312" w:eastAsia="仿宋_GB2312" w:hAnsi="仿宋_GB2312" w:cs="仿宋_GB2312" w:hint="eastAsia"/>
          <w:bCs/>
          <w:sz w:val="32"/>
          <w:szCs w:val="32"/>
        </w:rPr>
        <w:t xml:space="preserve"> </w:t>
      </w:r>
    </w:p>
    <w:p w14:paraId="36BF3B65" w14:textId="77777777" w:rsidR="00A92794" w:rsidRDefault="00A92794" w:rsidP="00A92794">
      <w:pPr>
        <w:spacing w:line="570" w:lineRule="exact"/>
        <w:rPr>
          <w:rFonts w:ascii="方正小标宋简体" w:eastAsia="方正小标宋简体" w:hAnsi="方正小标宋简体" w:cs="方正小标宋简体" w:hint="eastAsia"/>
          <w:sz w:val="44"/>
          <w:szCs w:val="44"/>
        </w:rPr>
      </w:pPr>
      <w:r>
        <w:rPr>
          <w:rFonts w:ascii="黑体" w:eastAsia="黑体" w:hAnsi="黑体" w:cs="黑体" w:hint="eastAsia"/>
          <w:sz w:val="32"/>
          <w:szCs w:val="32"/>
        </w:rPr>
        <w:lastRenderedPageBreak/>
        <w:t>附件1-1</w:t>
      </w:r>
      <w:r>
        <w:rPr>
          <w:rFonts w:ascii="黑体" w:eastAsia="黑体" w:hAnsi="黑体" w:cs="黑体"/>
          <w:sz w:val="32"/>
          <w:szCs w:val="32"/>
        </w:rPr>
        <w:t xml:space="preserve">             </w:t>
      </w:r>
      <w:r>
        <w:rPr>
          <w:rFonts w:ascii="方正小标宋简体" w:eastAsia="方正小标宋简体" w:hAnsi="方正小标宋简体" w:cs="方正小标宋简体" w:hint="eastAsia"/>
          <w:sz w:val="44"/>
          <w:szCs w:val="44"/>
        </w:rPr>
        <w:t xml:space="preserve">   </w:t>
      </w:r>
    </w:p>
    <w:p w14:paraId="615665D6" w14:textId="77777777" w:rsidR="00A92794" w:rsidRDefault="00A92794" w:rsidP="00A92794">
      <w:pPr>
        <w:spacing w:line="570" w:lineRule="exact"/>
        <w:rPr>
          <w:rFonts w:ascii="黑体" w:eastAsia="黑体" w:hAnsi="黑体" w:cs="黑体"/>
          <w:sz w:val="32"/>
          <w:szCs w:val="32"/>
        </w:rPr>
      </w:pPr>
      <w:r>
        <w:rPr>
          <w:rFonts w:ascii="方正小标宋简体" w:eastAsia="方正小标宋简体" w:hAnsi="方正小标宋简体" w:cs="方正小标宋简体" w:hint="eastAsia"/>
          <w:sz w:val="44"/>
          <w:szCs w:val="44"/>
        </w:rPr>
        <w:t xml:space="preserve">       市级定点医院收治肺结核患者系统管理工作流程及职责</w:t>
      </w:r>
    </w:p>
    <w:p w14:paraId="4A8D9BE8" w14:textId="77777777" w:rsidR="00A92794" w:rsidRDefault="00A92794" w:rsidP="00A92794">
      <w:pPr>
        <w:jc w:val="center"/>
        <w:rPr>
          <w:b/>
          <w:sz w:val="28"/>
          <w:szCs w:val="28"/>
        </w:rPr>
      </w:pPr>
      <w:r>
        <w:object w:dxaOrig="25906" w:dyaOrig="15601" w14:anchorId="7CDF1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62.15pt;height:338.55pt" o:ole="">
            <v:imagedata r:id="rId8" o:title=""/>
          </v:shape>
          <o:OLEObject Type="Embed" ShapeID="对象 1" DrawAspect="Content" ObjectID="_1659948368" r:id="rId9">
            <o:FieldCodes>\* MERGEFORMAT</o:FieldCodes>
          </o:OLEObject>
        </w:object>
      </w:r>
    </w:p>
    <w:p w14:paraId="35A2F2F7" w14:textId="77777777" w:rsidR="00A92794" w:rsidRDefault="00A92794" w:rsidP="00A92794">
      <w:pPr>
        <w:spacing w:line="570" w:lineRule="exact"/>
        <w:rPr>
          <w:b/>
          <w:sz w:val="28"/>
          <w:szCs w:val="28"/>
        </w:rPr>
        <w:sectPr w:rsidR="00A92794">
          <w:pgSz w:w="16838" w:h="11906" w:orient="landscape"/>
          <w:pgMar w:top="1797" w:right="1440" w:bottom="1797" w:left="1440" w:header="851" w:footer="992" w:gutter="0"/>
          <w:pgNumType w:fmt="numberInDash"/>
          <w:cols w:space="720"/>
          <w:docGrid w:type="linesAndChars" w:linePitch="312"/>
        </w:sectPr>
      </w:pPr>
    </w:p>
    <w:p w14:paraId="474FC5D9" w14:textId="77777777" w:rsidR="00A92794" w:rsidRDefault="00A92794" w:rsidP="00A92794">
      <w:pPr>
        <w:snapToGrid w:val="0"/>
        <w:spacing w:line="360" w:lineRule="auto"/>
        <w:rPr>
          <w:rFonts w:ascii="仿宋_GB2312" w:eastAsia="仿宋_GB2312" w:hAnsi="仿宋_GB2312" w:cs="仿宋_GB2312"/>
          <w:sz w:val="32"/>
          <w:szCs w:val="32"/>
        </w:rPr>
      </w:pPr>
      <w:r>
        <w:rPr>
          <w:rFonts w:ascii="黑体" w:eastAsia="黑体" w:hAnsi="黑体" w:cs="黑体" w:hint="eastAsia"/>
          <w:sz w:val="32"/>
          <w:szCs w:val="32"/>
        </w:rPr>
        <w:lastRenderedPageBreak/>
        <w:t>附件1-2</w:t>
      </w:r>
    </w:p>
    <w:p w14:paraId="5A65E0AF" w14:textId="77777777" w:rsidR="00A92794" w:rsidRDefault="00A92794" w:rsidP="00A92794">
      <w:pPr>
        <w:snapToGrid w:val="0"/>
        <w:spacing w:line="360" w:lineRule="auto"/>
        <w:jc w:val="center"/>
        <w:rPr>
          <w:rFonts w:ascii="方正小标宋简体" w:eastAsia="方正小标宋简体" w:hAnsi="方正小标宋简体" w:cs="方正小标宋简体" w:hint="eastAsia"/>
          <w:b/>
          <w:sz w:val="44"/>
          <w:szCs w:val="44"/>
        </w:rPr>
      </w:pPr>
      <w:r>
        <w:rPr>
          <w:rFonts w:ascii="方正小标宋简体" w:eastAsia="方正小标宋简体" w:hAnsi="方正小标宋简体" w:cs="方正小标宋简体" w:hint="eastAsia"/>
          <w:bCs/>
          <w:sz w:val="44"/>
          <w:szCs w:val="44"/>
        </w:rPr>
        <w:t>XX医院肺结核患者督导治疗告知书（模板）</w:t>
      </w:r>
    </w:p>
    <w:p w14:paraId="11698506" w14:textId="77777777" w:rsidR="00A92794" w:rsidRDefault="00A92794" w:rsidP="00A92794">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您好！</w:t>
      </w:r>
    </w:p>
    <w:p w14:paraId="1820FCCA"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经各项相关检查，您被确诊患有肺结核。</w:t>
      </w:r>
    </w:p>
    <w:p w14:paraId="448EA168"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根据《传染病防治法》、《结核病防治管理办法》及《北京市结核病防治工作规范》等相关要求，请您配合开展以下工作：</w:t>
      </w:r>
    </w:p>
    <w:p w14:paraId="2ED2EC52"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一、为了您和家人的健康，请您及时将患病情况告知家人，并告知他们及早进行结核病筛查，预防结核</w:t>
      </w:r>
      <w:r>
        <w:rPr>
          <w:rFonts w:ascii="仿宋_GB2312" w:eastAsia="仿宋_GB2312" w:hAnsi="仿宋_GB2312" w:cs="仿宋_GB2312"/>
          <w:sz w:val="32"/>
          <w:szCs w:val="32"/>
        </w:rPr>
        <w:t>危害并减少</w:t>
      </w:r>
      <w:r>
        <w:rPr>
          <w:rFonts w:ascii="仿宋_GB2312" w:eastAsia="仿宋_GB2312" w:hAnsi="仿宋_GB2312" w:cs="仿宋_GB2312" w:hint="eastAsia"/>
          <w:sz w:val="32"/>
          <w:szCs w:val="32"/>
        </w:rPr>
        <w:t>传播。</w:t>
      </w:r>
    </w:p>
    <w:p w14:paraId="6CC0E1F3"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二、除病情较重外，建议到您居住地区级结核病定点医疗机构进行治疗，</w:t>
      </w:r>
      <w:r>
        <w:rPr>
          <w:rFonts w:ascii="仿宋_GB2312" w:eastAsia="仿宋_GB2312" w:hAnsi="仿宋_GB2312" w:cs="仿宋_GB2312"/>
          <w:sz w:val="32"/>
          <w:szCs w:val="32"/>
        </w:rPr>
        <w:t>以</w:t>
      </w:r>
      <w:r>
        <w:rPr>
          <w:rFonts w:ascii="仿宋_GB2312" w:eastAsia="仿宋_GB2312" w:hAnsi="仿宋_GB2312" w:cs="仿宋_GB2312" w:hint="eastAsia"/>
          <w:sz w:val="32"/>
          <w:szCs w:val="32"/>
        </w:rPr>
        <w:t>方便就诊和享受政府提供的减免政策。</w:t>
      </w:r>
    </w:p>
    <w:p w14:paraId="3EA91127"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三、如果您选择在我院进行抗结核治疗，为了保证您的治疗效果，将有以下单位工作人员协同对您开展治疗管理：</w:t>
      </w:r>
    </w:p>
    <w:p w14:paraId="7703D1F7"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1.我院医生负责为您制定治疗方案，提供复诊及检查、疗效监测及转归判断等服务；</w:t>
      </w:r>
    </w:p>
    <w:p w14:paraId="689AF7E6"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2.您居住地的区级结防机构及社区医务人员为您提供健康管理服务，包括：</w:t>
      </w:r>
    </w:p>
    <w:p w14:paraId="1C252679"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(1)对您及家庭成员开展健康教育，提醒密切接触者主动进行结核病筛查；</w:t>
      </w:r>
    </w:p>
    <w:p w14:paraId="5841A35B"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(2)培训家庭成员作为家庭督导员，督促您规律服药并观察不良反应；</w:t>
      </w:r>
    </w:p>
    <w:p w14:paraId="6924CB20"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(3)定期与您联系，了解服药和不良反应发生情况；</w:t>
      </w:r>
    </w:p>
    <w:p w14:paraId="43916823"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(4)定期提醒您到我院复诊。</w:t>
      </w:r>
    </w:p>
    <w:p w14:paraId="3C54D491"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四、您要遵从医嘱按时服药，积极配合区级结防机构及社区医务人员的督导，坚持完成治疗。</w:t>
      </w:r>
    </w:p>
    <w:p w14:paraId="1D6B8DF4"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谢谢您的合作，祝您早日康复！</w:t>
      </w:r>
    </w:p>
    <w:p w14:paraId="423183DC"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p>
    <w:p w14:paraId="009C6DEF"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我已经阅读并理解告知书的所有内容，我选择（在选项数字上画圈）：</w:t>
      </w:r>
    </w:p>
    <w:p w14:paraId="0C322997"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(1)回居住地区级结核病定点医疗机构接受抗结核治疗；</w:t>
      </w:r>
    </w:p>
    <w:p w14:paraId="7B724F6F" w14:textId="77777777" w:rsidR="00A92794" w:rsidRDefault="00A92794" w:rsidP="00A92794">
      <w:pPr>
        <w:snapToGrid w:val="0"/>
        <w:spacing w:line="36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(2)在XX医院完成治疗，并愿意配合治疗管理工作。</w:t>
      </w:r>
    </w:p>
    <w:p w14:paraId="6B5E48E6" w14:textId="77777777" w:rsidR="00A92794" w:rsidRDefault="00A92794" w:rsidP="00A92794">
      <w:pPr>
        <w:snapToGrid w:val="0"/>
        <w:spacing w:line="360" w:lineRule="auto"/>
        <w:rPr>
          <w:rFonts w:ascii="仿宋_GB2312" w:eastAsia="仿宋_GB2312" w:hAnsi="仿宋_GB2312" w:cs="仿宋_GB2312"/>
          <w:sz w:val="32"/>
          <w:szCs w:val="32"/>
        </w:rPr>
      </w:pPr>
    </w:p>
    <w:p w14:paraId="1B1F939F" w14:textId="77777777" w:rsidR="00A92794" w:rsidRDefault="00A92794" w:rsidP="00A92794">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患者/家属签名：                       </w:t>
      </w:r>
    </w:p>
    <w:p w14:paraId="256EFC2D" w14:textId="77777777" w:rsidR="00A92794" w:rsidRDefault="00A92794" w:rsidP="00A92794">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p>
    <w:p w14:paraId="2DCD13C7" w14:textId="77777777" w:rsidR="00A92794" w:rsidRDefault="00A92794" w:rsidP="00A92794">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接诊医生签名：</w:t>
      </w:r>
    </w:p>
    <w:p w14:paraId="2F7C936F" w14:textId="77777777" w:rsidR="00A92794" w:rsidRDefault="00A92794" w:rsidP="00A92794">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p>
    <w:p w14:paraId="5930D081" w14:textId="77777777" w:rsidR="00A92794" w:rsidRDefault="00A92794" w:rsidP="00A92794">
      <w:pPr>
        <w:snapToGrid w:val="0"/>
        <w:spacing w:line="360" w:lineRule="auto"/>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北京市卫生健康委员会</w:t>
      </w:r>
    </w:p>
    <w:p w14:paraId="40BBD422" w14:textId="77777777" w:rsidR="00A92794" w:rsidRDefault="00A92794" w:rsidP="00A92794">
      <w:pPr>
        <w:snapToGrid w:val="0"/>
        <w:spacing w:line="360" w:lineRule="auto"/>
        <w:jc w:val="right"/>
        <w:rPr>
          <w:rFonts w:ascii="仿宋_GB2312" w:eastAsia="仿宋_GB2312" w:hAnsi="仿宋_GB2312" w:cs="仿宋_GB2312"/>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医院</w:t>
      </w:r>
    </w:p>
    <w:p w14:paraId="00C5EC14" w14:textId="77777777" w:rsidR="00A92794" w:rsidRDefault="00A92794" w:rsidP="00A92794">
      <w:pPr>
        <w:snapToGrid w:val="0"/>
        <w:spacing w:line="360" w:lineRule="auto"/>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北京结核病控制研究所</w:t>
      </w:r>
    </w:p>
    <w:p w14:paraId="43FE78EF" w14:textId="77777777" w:rsidR="00A92794" w:rsidRDefault="00A92794" w:rsidP="00A92794">
      <w:pPr>
        <w:spacing w:line="560" w:lineRule="exact"/>
        <w:jc w:val="left"/>
        <w:rPr>
          <w:rFonts w:ascii="仿宋" w:eastAsia="仿宋" w:hAnsi="仿宋"/>
          <w:b/>
          <w:sz w:val="28"/>
          <w:szCs w:val="28"/>
        </w:rPr>
      </w:pPr>
    </w:p>
    <w:p w14:paraId="14722F1C" w14:textId="77777777" w:rsidR="00A92794" w:rsidRDefault="00A92794" w:rsidP="00A92794">
      <w:pPr>
        <w:adjustRightInd w:val="0"/>
        <w:snapToGrid w:val="0"/>
        <w:spacing w:line="300" w:lineRule="auto"/>
        <w:rPr>
          <w:rFonts w:ascii="黑体" w:eastAsia="黑体" w:hAnsi="黑体" w:cs="黑体"/>
          <w:sz w:val="32"/>
          <w:szCs w:val="32"/>
        </w:rPr>
      </w:pPr>
      <w:r>
        <w:rPr>
          <w:rFonts w:hint="eastAsia"/>
          <w:b/>
          <w:kern w:val="0"/>
          <w:sz w:val="28"/>
          <w:szCs w:val="28"/>
        </w:rPr>
        <w:br w:type="page"/>
      </w:r>
      <w:r>
        <w:rPr>
          <w:rFonts w:ascii="黑体" w:eastAsia="黑体" w:hAnsi="黑体" w:cs="黑体" w:hint="eastAsia"/>
          <w:sz w:val="32"/>
          <w:szCs w:val="32"/>
        </w:rPr>
        <w:lastRenderedPageBreak/>
        <w:t>附件1-3</w:t>
      </w:r>
    </w:p>
    <w:p w14:paraId="7B8612A5" w14:textId="77777777" w:rsidR="00A92794" w:rsidRDefault="00A92794" w:rsidP="00A92794">
      <w:pPr>
        <w:adjustRightInd w:val="0"/>
        <w:snapToGrid w:val="0"/>
        <w:spacing w:line="324"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专报结核病患者病案信息内容</w:t>
      </w:r>
    </w:p>
    <w:p w14:paraId="61863D19" w14:textId="77777777" w:rsidR="00A92794" w:rsidRDefault="00A92794" w:rsidP="00A92794">
      <w:pPr>
        <w:adjustRightInd w:val="0"/>
        <w:snapToGrid w:val="0"/>
        <w:spacing w:line="30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一、患者基本信息</w:t>
      </w:r>
      <w:r>
        <w:rPr>
          <w:rFonts w:ascii="仿宋_GB2312" w:eastAsia="仿宋_GB2312" w:hAnsi="仿宋_GB2312" w:cs="仿宋_GB2312" w:hint="eastAsia"/>
          <w:sz w:val="32"/>
          <w:szCs w:val="32"/>
        </w:rPr>
        <w:tab/>
      </w:r>
    </w:p>
    <w:p w14:paraId="75E2DD58"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p w14:paraId="1B525D13"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性别</w:t>
      </w:r>
    </w:p>
    <w:p w14:paraId="41C96F27"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出生日期</w:t>
      </w:r>
    </w:p>
    <w:p w14:paraId="67BA0F6C"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民族</w:t>
      </w:r>
    </w:p>
    <w:p w14:paraId="67EE7D6C"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职业</w:t>
      </w:r>
    </w:p>
    <w:p w14:paraId="434E743F"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w:t>
      </w:r>
    </w:p>
    <w:p w14:paraId="33CE70D3"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户籍地址</w:t>
      </w:r>
    </w:p>
    <w:p w14:paraId="11CB23A0"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现住址</w:t>
      </w:r>
    </w:p>
    <w:p w14:paraId="392263DA"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患者联系电话</w:t>
      </w:r>
    </w:p>
    <w:p w14:paraId="775D7AE8" w14:textId="77777777" w:rsidR="00A92794" w:rsidRDefault="00A92794" w:rsidP="00A92794">
      <w:pPr>
        <w:adjustRightInd w:val="0"/>
        <w:snapToGrid w:val="0"/>
        <w:spacing w:line="30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二、发病及就诊信息</w:t>
      </w:r>
    </w:p>
    <w:p w14:paraId="584118E1"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患者来源（因症就诊 转诊）</w:t>
      </w:r>
    </w:p>
    <w:p w14:paraId="546460A7"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本次出现症状日期</w:t>
      </w:r>
    </w:p>
    <w:p w14:paraId="29DCDC9B" w14:textId="77777777" w:rsidR="00A92794" w:rsidRDefault="00A92794" w:rsidP="00A92794">
      <w:pPr>
        <w:adjustRightInd w:val="0"/>
        <w:snapToGrid w:val="0"/>
        <w:spacing w:line="30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本次首诊日期</w:t>
      </w:r>
    </w:p>
    <w:p w14:paraId="1907FC67" w14:textId="77777777" w:rsidR="00A92794" w:rsidRDefault="00A92794" w:rsidP="00A92794">
      <w:pPr>
        <w:adjustRightInd w:val="0"/>
        <w:snapToGrid w:val="0"/>
        <w:spacing w:line="300" w:lineRule="auto"/>
        <w:ind w:firstLineChars="200" w:firstLine="640"/>
        <w:rPr>
          <w:rFonts w:ascii="黑体" w:eastAsia="黑体" w:hAnsi="黑体" w:cs="黑体"/>
          <w:sz w:val="32"/>
          <w:szCs w:val="32"/>
        </w:rPr>
      </w:pPr>
      <w:r>
        <w:rPr>
          <w:rFonts w:ascii="黑体" w:eastAsia="黑体" w:hAnsi="黑体" w:cs="黑体" w:hint="eastAsia"/>
          <w:sz w:val="32"/>
          <w:szCs w:val="32"/>
        </w:rPr>
        <w:t>三、疗前及疗程中的检查信息</w:t>
      </w:r>
    </w:p>
    <w:p w14:paraId="626AC9F1"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楷体_GB2312" w:eastAsia="楷体_GB2312" w:hAnsi="楷体_GB2312" w:cs="楷体_GB2312" w:hint="eastAsia"/>
          <w:sz w:val="32"/>
          <w:szCs w:val="32"/>
        </w:rPr>
        <w:t>（一）分月的胸部x线检查（包括胸片和CT）：</w:t>
      </w:r>
    </w:p>
    <w:p w14:paraId="35D20A2D"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检查日期</w:t>
      </w:r>
    </w:p>
    <w:p w14:paraId="55DD4234"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检查结果</w:t>
      </w:r>
    </w:p>
    <w:p w14:paraId="2441A746" w14:textId="77777777" w:rsidR="00A92794" w:rsidRDefault="00A92794" w:rsidP="00A92794">
      <w:pPr>
        <w:adjustRightInd w:val="0"/>
        <w:snapToGrid w:val="0"/>
        <w:spacing w:line="300" w:lineRule="auto"/>
        <w:ind w:firstLineChars="221" w:firstLine="707"/>
        <w:rPr>
          <w:rFonts w:ascii="楷体_GB2312" w:eastAsia="楷体_GB2312" w:hAnsi="楷体_GB2312" w:cs="楷体_GB2312"/>
          <w:sz w:val="32"/>
          <w:szCs w:val="32"/>
        </w:rPr>
      </w:pPr>
      <w:r>
        <w:rPr>
          <w:rFonts w:ascii="楷体_GB2312" w:eastAsia="楷体_GB2312" w:hAnsi="楷体_GB2312" w:cs="楷体_GB2312" w:hint="eastAsia"/>
          <w:sz w:val="32"/>
          <w:szCs w:val="32"/>
        </w:rPr>
        <w:t>（二）分月的痰涂片/分子生物学检查：</w:t>
      </w:r>
    </w:p>
    <w:p w14:paraId="05BAEEDE"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检查日期</w:t>
      </w:r>
    </w:p>
    <w:p w14:paraId="6F6A643B"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检查结果</w:t>
      </w:r>
    </w:p>
    <w:p w14:paraId="5F94245E" w14:textId="77777777" w:rsidR="00A92794" w:rsidRDefault="00A92794" w:rsidP="00A92794">
      <w:pPr>
        <w:adjustRightInd w:val="0"/>
        <w:snapToGrid w:val="0"/>
        <w:spacing w:line="300" w:lineRule="auto"/>
        <w:ind w:firstLineChars="221" w:firstLine="707"/>
        <w:rPr>
          <w:rFonts w:ascii="楷体_GB2312" w:eastAsia="楷体_GB2312" w:hAnsi="楷体_GB2312" w:cs="楷体_GB2312"/>
          <w:sz w:val="32"/>
          <w:szCs w:val="32"/>
        </w:rPr>
      </w:pPr>
      <w:r>
        <w:rPr>
          <w:rFonts w:ascii="楷体_GB2312" w:eastAsia="楷体_GB2312" w:hAnsi="楷体_GB2312" w:cs="楷体_GB2312" w:hint="eastAsia"/>
          <w:sz w:val="32"/>
          <w:szCs w:val="32"/>
        </w:rPr>
        <w:t>（三）分月的痰培养检查：</w:t>
      </w:r>
    </w:p>
    <w:p w14:paraId="51440A95"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接种日期</w:t>
      </w:r>
    </w:p>
    <w:p w14:paraId="3A56C734"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结果报告日期</w:t>
      </w:r>
    </w:p>
    <w:p w14:paraId="2E24DDE6"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检查结果</w:t>
      </w:r>
    </w:p>
    <w:p w14:paraId="57618962" w14:textId="77777777" w:rsidR="00A92794" w:rsidRDefault="00A92794" w:rsidP="00A92794">
      <w:pPr>
        <w:adjustRightInd w:val="0"/>
        <w:snapToGrid w:val="0"/>
        <w:spacing w:line="300" w:lineRule="auto"/>
        <w:ind w:firstLineChars="221" w:firstLine="707"/>
        <w:rPr>
          <w:rFonts w:ascii="楷体_GB2312" w:eastAsia="楷体_GB2312" w:hAnsi="楷体_GB2312" w:cs="楷体_GB2312"/>
          <w:sz w:val="32"/>
          <w:szCs w:val="32"/>
        </w:rPr>
      </w:pPr>
      <w:r>
        <w:rPr>
          <w:rFonts w:ascii="楷体_GB2312" w:eastAsia="楷体_GB2312" w:hAnsi="楷体_GB2312" w:cs="楷体_GB2312" w:hint="eastAsia"/>
          <w:sz w:val="32"/>
          <w:szCs w:val="32"/>
        </w:rPr>
        <w:t>（四）抗结核药物敏感性试验</w:t>
      </w:r>
    </w:p>
    <w:p w14:paraId="53E063B8"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药敏检查类别</w:t>
      </w:r>
    </w:p>
    <w:p w14:paraId="625E71FE"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检查日期</w:t>
      </w:r>
    </w:p>
    <w:p w14:paraId="5C48098B"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报告日期</w:t>
      </w:r>
    </w:p>
    <w:p w14:paraId="52A30564"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药敏检查结果</w:t>
      </w:r>
    </w:p>
    <w:p w14:paraId="5312BCBF" w14:textId="77777777" w:rsidR="00A92794" w:rsidRDefault="00A92794" w:rsidP="00A92794">
      <w:pPr>
        <w:adjustRightInd w:val="0"/>
        <w:snapToGrid w:val="0"/>
        <w:spacing w:line="300" w:lineRule="auto"/>
        <w:ind w:firstLineChars="221" w:firstLine="707"/>
        <w:rPr>
          <w:rFonts w:ascii="楷体_GB2312" w:eastAsia="楷体_GB2312" w:hAnsi="楷体_GB2312" w:cs="楷体_GB2312"/>
          <w:sz w:val="32"/>
          <w:szCs w:val="32"/>
        </w:rPr>
      </w:pPr>
      <w:r>
        <w:rPr>
          <w:rFonts w:ascii="楷体_GB2312" w:eastAsia="楷体_GB2312" w:hAnsi="楷体_GB2312" w:cs="楷体_GB2312" w:hint="eastAsia"/>
          <w:sz w:val="32"/>
          <w:szCs w:val="32"/>
        </w:rPr>
        <w:t>（五）HIV抗体检测结果</w:t>
      </w:r>
    </w:p>
    <w:p w14:paraId="10DFC90D" w14:textId="77777777" w:rsidR="00A92794" w:rsidRDefault="00A92794" w:rsidP="00A92794">
      <w:pPr>
        <w:adjustRightInd w:val="0"/>
        <w:snapToGrid w:val="0"/>
        <w:spacing w:line="300" w:lineRule="auto"/>
        <w:ind w:firstLineChars="200" w:firstLine="640"/>
        <w:rPr>
          <w:rFonts w:ascii="黑体" w:eastAsia="黑体" w:hAnsi="黑体" w:cs="黑体"/>
          <w:sz w:val="32"/>
          <w:szCs w:val="32"/>
        </w:rPr>
      </w:pPr>
      <w:r>
        <w:rPr>
          <w:rFonts w:ascii="黑体" w:eastAsia="黑体" w:hAnsi="黑体" w:cs="黑体" w:hint="eastAsia"/>
          <w:sz w:val="32"/>
          <w:szCs w:val="32"/>
        </w:rPr>
        <w:t>四、诊断信息</w:t>
      </w:r>
    </w:p>
    <w:p w14:paraId="7430AD25"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本次确诊日期</w:t>
      </w:r>
    </w:p>
    <w:p w14:paraId="0A6F51D7"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诊断分型</w:t>
      </w:r>
    </w:p>
    <w:p w14:paraId="6BA36012"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诊断结果</w:t>
      </w:r>
    </w:p>
    <w:p w14:paraId="75A990DD"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诊断医生</w:t>
      </w:r>
    </w:p>
    <w:p w14:paraId="05277815" w14:textId="77777777" w:rsidR="00A92794" w:rsidRDefault="00A92794" w:rsidP="00A92794">
      <w:pPr>
        <w:adjustRightInd w:val="0"/>
        <w:snapToGrid w:val="0"/>
        <w:spacing w:line="30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五、登记信息</w:t>
      </w:r>
    </w:p>
    <w:p w14:paraId="5636729A"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登记日期</w:t>
      </w:r>
    </w:p>
    <w:p w14:paraId="01D767E6"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登记分类（新患者 复发 返回 初治失败 其他）</w:t>
      </w:r>
    </w:p>
    <w:p w14:paraId="3FB98FE3" w14:textId="77777777" w:rsidR="00A92794" w:rsidRDefault="00A92794" w:rsidP="00A92794">
      <w:pPr>
        <w:adjustRightInd w:val="0"/>
        <w:snapToGrid w:val="0"/>
        <w:spacing w:line="30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六、治疗信息</w:t>
      </w:r>
    </w:p>
    <w:p w14:paraId="4CD1CD2F"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开始治疗日期</w:t>
      </w:r>
    </w:p>
    <w:p w14:paraId="27B96D20"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治疗方案</w:t>
      </w:r>
    </w:p>
    <w:p w14:paraId="0F9C316E"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分月的下次预约复诊日期</w:t>
      </w:r>
    </w:p>
    <w:p w14:paraId="76210367" w14:textId="77777777" w:rsidR="00A92794" w:rsidRDefault="00A92794" w:rsidP="00A92794">
      <w:pPr>
        <w:adjustRightInd w:val="0"/>
        <w:snapToGrid w:val="0"/>
        <w:spacing w:line="30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七、治疗转归信息</w:t>
      </w:r>
    </w:p>
    <w:p w14:paraId="6B8C7A54" w14:textId="77777777" w:rsidR="00A92794" w:rsidRDefault="00A92794" w:rsidP="00A92794">
      <w:pPr>
        <w:adjustRightInd w:val="0"/>
        <w:snapToGrid w:val="0"/>
        <w:spacing w:line="300" w:lineRule="auto"/>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停止治疗日期</w:t>
      </w:r>
    </w:p>
    <w:p w14:paraId="073DE8B9" w14:textId="77777777" w:rsidR="00A92794" w:rsidRDefault="00A92794" w:rsidP="00A92794">
      <w:pPr>
        <w:adjustRightInd w:val="0"/>
        <w:snapToGrid w:val="0"/>
        <w:spacing w:line="300" w:lineRule="auto"/>
        <w:ind w:firstLineChars="221" w:firstLine="707"/>
        <w:rPr>
          <w:rFonts w:ascii="仿宋" w:eastAsia="仿宋" w:hAnsi="仿宋"/>
          <w:sz w:val="32"/>
          <w:szCs w:val="32"/>
        </w:rPr>
      </w:pPr>
      <w:r>
        <w:rPr>
          <w:rFonts w:ascii="仿宋_GB2312" w:eastAsia="仿宋_GB2312" w:hAnsi="仿宋_GB2312" w:cs="仿宋_GB2312" w:hint="eastAsia"/>
          <w:sz w:val="32"/>
          <w:szCs w:val="32"/>
        </w:rPr>
        <w:t>停止治疗原因</w:t>
      </w:r>
    </w:p>
    <w:p w14:paraId="15AE5005" w14:textId="77777777" w:rsidR="00811718" w:rsidRDefault="00811718"/>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9DB5" w14:textId="77777777" w:rsidR="00B025E9" w:rsidRDefault="00B025E9" w:rsidP="00A92794">
      <w:r>
        <w:separator/>
      </w:r>
    </w:p>
  </w:endnote>
  <w:endnote w:type="continuationSeparator" w:id="0">
    <w:p w14:paraId="3B1EA932" w14:textId="77777777" w:rsidR="00B025E9" w:rsidRDefault="00B025E9" w:rsidP="00A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8F6A" w14:textId="66CEB3A8" w:rsidR="00A92794" w:rsidRDefault="00A92794">
    <w:pPr>
      <w:pStyle w:val="a5"/>
    </w:pPr>
    <w:r>
      <w:rPr>
        <w:noProof/>
      </w:rPr>
      <mc:AlternateContent>
        <mc:Choice Requires="wps">
          <w:drawing>
            <wp:anchor distT="0" distB="0" distL="114300" distR="114300" simplePos="0" relativeHeight="251659264" behindDoc="0" locked="0" layoutInCell="1" allowOverlap="1" wp14:anchorId="6D15AC97" wp14:editId="724F49CA">
              <wp:simplePos x="0" y="0"/>
              <wp:positionH relativeFrom="margin">
                <wp:align>outside</wp:align>
              </wp:positionH>
              <wp:positionV relativeFrom="paragraph">
                <wp:posOffset>0</wp:posOffset>
              </wp:positionV>
              <wp:extent cx="222250" cy="153035"/>
              <wp:effectExtent l="0" t="0" r="6350" b="184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53035"/>
                      </a:xfrm>
                      <a:prstGeom prst="rect">
                        <a:avLst/>
                      </a:prstGeom>
                      <a:noFill/>
                      <a:ln>
                        <a:noFill/>
                      </a:ln>
                    </wps:spPr>
                    <wps:txbx>
                      <w:txbxContent>
                        <w:p w14:paraId="738AFD36" w14:textId="77777777" w:rsidR="00A92794" w:rsidRDefault="00A92794">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D15AC97" id="_x0000_t202" coordsize="21600,21600" o:spt="202" path="m,l,21600r21600,l21600,xe">
              <v:stroke joinstyle="miter"/>
              <v:path gradientshapeok="t" o:connecttype="rect"/>
            </v:shapetype>
            <v:shape id="文本框 1" o:spid="_x0000_s1026" type="#_x0000_t202" style="position:absolute;margin-left:-33.7pt;margin-top:0;width:17.5pt;height:12.0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" filled="f" stroked="f">
              <v:textbox style="mso-fit-shape-to-text:t" inset="0,0,0,0">
                <w:txbxContent>
                  <w:p w14:paraId="738AFD36" w14:textId="77777777" w:rsidR="00A92794" w:rsidRDefault="00A92794">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1A745" w14:textId="77777777" w:rsidR="00B025E9" w:rsidRDefault="00B025E9" w:rsidP="00A92794">
      <w:r>
        <w:separator/>
      </w:r>
    </w:p>
  </w:footnote>
  <w:footnote w:type="continuationSeparator" w:id="0">
    <w:p w14:paraId="1A5F7DFD" w14:textId="77777777" w:rsidR="00B025E9" w:rsidRDefault="00B025E9" w:rsidP="00A9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64F0" w14:textId="77777777" w:rsidR="00A92794" w:rsidRDefault="00A92794">
    <w:pPr>
      <w:pStyle w:val="a3"/>
      <w:pBdr>
        <w:bottom w:val="single" w:sz="6" w:space="1" w:color="F9FBFA"/>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6B"/>
    <w:rsid w:val="003F576B"/>
    <w:rsid w:val="00811718"/>
    <w:rsid w:val="00A92794"/>
    <w:rsid w:val="00B0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E9663-19DC-4378-8086-51ED393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2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2794"/>
    <w:rPr>
      <w:sz w:val="18"/>
      <w:szCs w:val="18"/>
    </w:rPr>
  </w:style>
  <w:style w:type="paragraph" w:styleId="a5">
    <w:name w:val="footer"/>
    <w:basedOn w:val="a"/>
    <w:link w:val="a6"/>
    <w:unhideWhenUsed/>
    <w:qFormat/>
    <w:rsid w:val="00A927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2794"/>
    <w:rPr>
      <w:sz w:val="18"/>
      <w:szCs w:val="18"/>
    </w:rPr>
  </w:style>
  <w:style w:type="paragraph" w:customStyle="1" w:styleId="ListParagraph">
    <w:name w:val="List Paragraph"/>
    <w:basedOn w:val="a"/>
    <w:uiPriority w:val="34"/>
    <w:qFormat/>
    <w:rsid w:val="00A9279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2020-08-26T04:00:00Z</dcterms:created>
  <dcterms:modified xsi:type="dcterms:W3CDTF">2020-08-26T04:00:00Z</dcterms:modified>
</cp:coreProperties>
</file>